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D97" w:rsidRPr="00D64309" w:rsidRDefault="00B24D97" w:rsidP="00845BA2">
      <w:pPr>
        <w:jc w:val="center"/>
        <w:rPr>
          <w:rFonts w:cs="Arial"/>
          <w:b/>
          <w:sz w:val="24"/>
          <w:szCs w:val="24"/>
        </w:rPr>
      </w:pPr>
      <w:bookmarkStart w:id="0" w:name="_GoBack"/>
      <w:bookmarkEnd w:id="0"/>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D64309" w:rsidRDefault="00B24D97" w:rsidP="00845BA2">
      <w:pPr>
        <w:jc w:val="center"/>
        <w:rPr>
          <w:rFonts w:cs="Arial"/>
          <w:b/>
          <w:sz w:val="24"/>
          <w:szCs w:val="24"/>
        </w:rPr>
      </w:pPr>
    </w:p>
    <w:p w:rsidR="00B24D97" w:rsidRPr="00327655" w:rsidRDefault="00B24D97" w:rsidP="00DD43A4">
      <w:pPr>
        <w:jc w:val="center"/>
        <w:rPr>
          <w:rFonts w:cs="Arial"/>
          <w:b/>
          <w:color w:val="808080" w:themeColor="background1" w:themeShade="80"/>
          <w:sz w:val="72"/>
          <w:szCs w:val="72"/>
        </w:rPr>
      </w:pPr>
      <w:r w:rsidRPr="00327655">
        <w:rPr>
          <w:rFonts w:cs="Arial"/>
          <w:b/>
          <w:color w:val="808080" w:themeColor="background1" w:themeShade="80"/>
          <w:sz w:val="72"/>
          <w:szCs w:val="72"/>
        </w:rPr>
        <w:t>Electronic Claims File</w:t>
      </w:r>
    </w:p>
    <w:p w:rsidR="00B24D97" w:rsidRPr="00327655" w:rsidRDefault="00327655" w:rsidP="00DD43A4">
      <w:pPr>
        <w:jc w:val="center"/>
        <w:rPr>
          <w:rFonts w:cs="Arial"/>
          <w:b/>
          <w:color w:val="808080" w:themeColor="background1" w:themeShade="80"/>
          <w:sz w:val="52"/>
          <w:szCs w:val="52"/>
        </w:rPr>
      </w:pPr>
      <w:r>
        <w:rPr>
          <w:rFonts w:cs="Arial"/>
          <w:b/>
          <w:color w:val="808080" w:themeColor="background1" w:themeShade="80"/>
          <w:sz w:val="52"/>
          <w:szCs w:val="52"/>
        </w:rPr>
        <w:t>Lloyd’s Systems</w:t>
      </w:r>
      <w:r>
        <w:rPr>
          <w:rFonts w:cs="Arial"/>
          <w:b/>
          <w:color w:val="808080" w:themeColor="background1" w:themeShade="80"/>
          <w:sz w:val="52"/>
          <w:szCs w:val="52"/>
        </w:rPr>
        <w:br/>
      </w:r>
      <w:r w:rsidR="00B24D97" w:rsidRPr="00327655">
        <w:rPr>
          <w:rFonts w:cs="Arial"/>
          <w:b/>
          <w:color w:val="808080" w:themeColor="background1" w:themeShade="80"/>
          <w:sz w:val="52"/>
          <w:szCs w:val="52"/>
        </w:rPr>
        <w:t>Processes &amp; Procedures</w:t>
      </w:r>
    </w:p>
    <w:p w:rsidR="00372619" w:rsidRDefault="00B24D97" w:rsidP="00146A51">
      <w:pPr>
        <w:pStyle w:val="Heading1"/>
        <w:numPr>
          <w:ilvl w:val="0"/>
          <w:numId w:val="0"/>
        </w:numPr>
        <w:rPr>
          <w:rFonts w:cs="Arial"/>
        </w:rPr>
      </w:pPr>
      <w:r w:rsidRPr="00D64309">
        <w:rPr>
          <w:rFonts w:cs="Arial"/>
        </w:rPr>
        <w:br w:type="page"/>
      </w:r>
      <w:bookmarkStart w:id="1" w:name="_Toc142277007"/>
      <w:bookmarkStart w:id="2" w:name="_Toc389214774"/>
    </w:p>
    <w:p w:rsidR="00B75E1B" w:rsidRDefault="004C3649">
      <w:pPr>
        <w:pStyle w:val="TOC1"/>
        <w:tabs>
          <w:tab w:val="right" w:leader="dot" w:pos="9019"/>
        </w:tabs>
        <w:rPr>
          <w:rFonts w:asciiTheme="minorHAnsi" w:eastAsiaTheme="minorEastAsia" w:hAnsiTheme="minorHAnsi" w:cstheme="minorBidi"/>
          <w:b w:val="0"/>
          <w:bCs w:val="0"/>
          <w:caps w:val="0"/>
          <w:noProof/>
          <w:sz w:val="22"/>
          <w:szCs w:val="22"/>
          <w:lang w:eastAsia="en-GB"/>
        </w:rPr>
      </w:pPr>
      <w:r>
        <w:rPr>
          <w:rFonts w:cs="Arial"/>
          <w:b w:val="0"/>
          <w:caps w:val="0"/>
          <w:sz w:val="22"/>
          <w:szCs w:val="22"/>
        </w:rPr>
        <w:lastRenderedPageBreak/>
        <w:fldChar w:fldCharType="begin"/>
      </w:r>
      <w:r w:rsidR="00372619">
        <w:rPr>
          <w:rFonts w:cs="Arial"/>
          <w:b w:val="0"/>
          <w:caps w:val="0"/>
          <w:sz w:val="22"/>
          <w:szCs w:val="22"/>
        </w:rPr>
        <w:instrText xml:space="preserve"> TOC \o "1-3" \h \z \u </w:instrText>
      </w:r>
      <w:r>
        <w:rPr>
          <w:rFonts w:cs="Arial"/>
          <w:b w:val="0"/>
          <w:caps w:val="0"/>
          <w:sz w:val="22"/>
          <w:szCs w:val="22"/>
        </w:rPr>
        <w:fldChar w:fldCharType="separate"/>
      </w:r>
      <w:hyperlink w:anchor="_Toc396989110" w:history="1">
        <w:r w:rsidR="00B75E1B" w:rsidRPr="009B34D1">
          <w:rPr>
            <w:rStyle w:val="Hyperlink"/>
            <w:rFonts w:cs="Arial"/>
            <w:noProof/>
          </w:rPr>
          <w:t>PREFACE</w:t>
        </w:r>
        <w:r w:rsidR="00B75E1B">
          <w:rPr>
            <w:noProof/>
            <w:webHidden/>
          </w:rPr>
          <w:tab/>
        </w:r>
        <w:r w:rsidR="00B75E1B">
          <w:rPr>
            <w:noProof/>
            <w:webHidden/>
          </w:rPr>
          <w:fldChar w:fldCharType="begin"/>
        </w:r>
        <w:r w:rsidR="00B75E1B">
          <w:rPr>
            <w:noProof/>
            <w:webHidden/>
          </w:rPr>
          <w:instrText xml:space="preserve"> PAGEREF _Toc396989110 \h </w:instrText>
        </w:r>
        <w:r w:rsidR="00B75E1B">
          <w:rPr>
            <w:noProof/>
            <w:webHidden/>
          </w:rPr>
        </w:r>
        <w:r w:rsidR="00B75E1B">
          <w:rPr>
            <w:noProof/>
            <w:webHidden/>
          </w:rPr>
          <w:fldChar w:fldCharType="separate"/>
        </w:r>
        <w:r w:rsidR="00B75E1B">
          <w:rPr>
            <w:noProof/>
            <w:webHidden/>
          </w:rPr>
          <w:t>6</w:t>
        </w:r>
        <w:r w:rsidR="00B75E1B">
          <w:rPr>
            <w:noProof/>
            <w:webHidden/>
          </w:rPr>
          <w:fldChar w:fldCharType="end"/>
        </w:r>
      </w:hyperlink>
    </w:p>
    <w:p w:rsidR="00B75E1B" w:rsidRDefault="00634191">
      <w:pPr>
        <w:pStyle w:val="TOC1"/>
        <w:tabs>
          <w:tab w:val="left" w:pos="400"/>
          <w:tab w:val="right" w:leader="dot" w:pos="9019"/>
        </w:tabs>
        <w:rPr>
          <w:rFonts w:asciiTheme="minorHAnsi" w:eastAsiaTheme="minorEastAsia" w:hAnsiTheme="minorHAnsi" w:cstheme="minorBidi"/>
          <w:b w:val="0"/>
          <w:bCs w:val="0"/>
          <w:caps w:val="0"/>
          <w:noProof/>
          <w:sz w:val="22"/>
          <w:szCs w:val="22"/>
          <w:lang w:eastAsia="en-GB"/>
        </w:rPr>
      </w:pPr>
      <w:hyperlink w:anchor="_Toc396989111" w:history="1">
        <w:r w:rsidR="00B75E1B" w:rsidRPr="009B34D1">
          <w:rPr>
            <w:rStyle w:val="Hyperlink"/>
            <w:noProof/>
          </w:rPr>
          <w:t>1.</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noProof/>
          </w:rPr>
          <w:t>Document Control</w:t>
        </w:r>
        <w:r w:rsidR="00B75E1B">
          <w:rPr>
            <w:noProof/>
            <w:webHidden/>
          </w:rPr>
          <w:tab/>
        </w:r>
        <w:r w:rsidR="00B75E1B">
          <w:rPr>
            <w:noProof/>
            <w:webHidden/>
          </w:rPr>
          <w:fldChar w:fldCharType="begin"/>
        </w:r>
        <w:r w:rsidR="00B75E1B">
          <w:rPr>
            <w:noProof/>
            <w:webHidden/>
          </w:rPr>
          <w:instrText xml:space="preserve"> PAGEREF _Toc396989111 \h </w:instrText>
        </w:r>
        <w:r w:rsidR="00B75E1B">
          <w:rPr>
            <w:noProof/>
            <w:webHidden/>
          </w:rPr>
        </w:r>
        <w:r w:rsidR="00B75E1B">
          <w:rPr>
            <w:noProof/>
            <w:webHidden/>
          </w:rPr>
          <w:fldChar w:fldCharType="separate"/>
        </w:r>
        <w:r w:rsidR="00B75E1B">
          <w:rPr>
            <w:noProof/>
            <w:webHidden/>
          </w:rPr>
          <w:t>8</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12" w:history="1">
        <w:r w:rsidR="00B75E1B" w:rsidRPr="009B34D1">
          <w:rPr>
            <w:rStyle w:val="Hyperlink"/>
            <w:noProof/>
          </w:rPr>
          <w:t>1.1</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ECF Scope</w:t>
        </w:r>
        <w:r w:rsidR="00B75E1B">
          <w:rPr>
            <w:noProof/>
            <w:webHidden/>
          </w:rPr>
          <w:tab/>
        </w:r>
        <w:r w:rsidR="00B75E1B">
          <w:rPr>
            <w:noProof/>
            <w:webHidden/>
          </w:rPr>
          <w:fldChar w:fldCharType="begin"/>
        </w:r>
        <w:r w:rsidR="00B75E1B">
          <w:rPr>
            <w:noProof/>
            <w:webHidden/>
          </w:rPr>
          <w:instrText xml:space="preserve"> PAGEREF _Toc396989112 \h </w:instrText>
        </w:r>
        <w:r w:rsidR="00B75E1B">
          <w:rPr>
            <w:noProof/>
            <w:webHidden/>
          </w:rPr>
        </w:r>
        <w:r w:rsidR="00B75E1B">
          <w:rPr>
            <w:noProof/>
            <w:webHidden/>
          </w:rPr>
          <w:fldChar w:fldCharType="separate"/>
        </w:r>
        <w:r w:rsidR="00B75E1B">
          <w:rPr>
            <w:noProof/>
            <w:webHidden/>
          </w:rPr>
          <w:t>9</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13" w:history="1">
        <w:r w:rsidR="00B75E1B" w:rsidRPr="009B34D1">
          <w:rPr>
            <w:rStyle w:val="Hyperlink"/>
            <w:noProof/>
          </w:rPr>
          <w:t>1.2</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Business or Claim Types that ECF has Never Been Required to Support</w:t>
        </w:r>
        <w:r w:rsidR="00B75E1B">
          <w:rPr>
            <w:noProof/>
            <w:webHidden/>
          </w:rPr>
          <w:tab/>
        </w:r>
        <w:r w:rsidR="00B75E1B">
          <w:rPr>
            <w:noProof/>
            <w:webHidden/>
          </w:rPr>
          <w:fldChar w:fldCharType="begin"/>
        </w:r>
        <w:r w:rsidR="00B75E1B">
          <w:rPr>
            <w:noProof/>
            <w:webHidden/>
          </w:rPr>
          <w:instrText xml:space="preserve"> PAGEREF _Toc396989113 \h </w:instrText>
        </w:r>
        <w:r w:rsidR="00B75E1B">
          <w:rPr>
            <w:noProof/>
            <w:webHidden/>
          </w:rPr>
        </w:r>
        <w:r w:rsidR="00B75E1B">
          <w:rPr>
            <w:noProof/>
            <w:webHidden/>
          </w:rPr>
          <w:fldChar w:fldCharType="separate"/>
        </w:r>
        <w:r w:rsidR="00B75E1B">
          <w:rPr>
            <w:noProof/>
            <w:webHidden/>
          </w:rPr>
          <w:t>9</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14" w:history="1">
        <w:r w:rsidR="00B75E1B" w:rsidRPr="009B34D1">
          <w:rPr>
            <w:rStyle w:val="Hyperlink"/>
            <w:noProof/>
          </w:rPr>
          <w:t>1.3</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Business or Claim Types Excluded from the Current Implementation of ECF</w:t>
        </w:r>
        <w:r w:rsidR="00B75E1B">
          <w:rPr>
            <w:noProof/>
            <w:webHidden/>
          </w:rPr>
          <w:tab/>
        </w:r>
        <w:r w:rsidR="00B75E1B">
          <w:rPr>
            <w:noProof/>
            <w:webHidden/>
          </w:rPr>
          <w:fldChar w:fldCharType="begin"/>
        </w:r>
        <w:r w:rsidR="00B75E1B">
          <w:rPr>
            <w:noProof/>
            <w:webHidden/>
          </w:rPr>
          <w:instrText xml:space="preserve"> PAGEREF _Toc396989114 \h </w:instrText>
        </w:r>
        <w:r w:rsidR="00B75E1B">
          <w:rPr>
            <w:noProof/>
            <w:webHidden/>
          </w:rPr>
        </w:r>
        <w:r w:rsidR="00B75E1B">
          <w:rPr>
            <w:noProof/>
            <w:webHidden/>
          </w:rPr>
          <w:fldChar w:fldCharType="separate"/>
        </w:r>
        <w:r w:rsidR="00B75E1B">
          <w:rPr>
            <w:noProof/>
            <w:webHidden/>
          </w:rPr>
          <w:t>10</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15" w:history="1">
        <w:r w:rsidR="00B75E1B" w:rsidRPr="009B34D1">
          <w:rPr>
            <w:rStyle w:val="Hyperlink"/>
            <w:noProof/>
          </w:rPr>
          <w:t>1.4</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Escalation Procedure</w:t>
        </w:r>
        <w:r w:rsidR="00B75E1B">
          <w:rPr>
            <w:noProof/>
            <w:webHidden/>
          </w:rPr>
          <w:tab/>
        </w:r>
        <w:r w:rsidR="00B75E1B">
          <w:rPr>
            <w:noProof/>
            <w:webHidden/>
          </w:rPr>
          <w:fldChar w:fldCharType="begin"/>
        </w:r>
        <w:r w:rsidR="00B75E1B">
          <w:rPr>
            <w:noProof/>
            <w:webHidden/>
          </w:rPr>
          <w:instrText xml:space="preserve"> PAGEREF _Toc396989115 \h </w:instrText>
        </w:r>
        <w:r w:rsidR="00B75E1B">
          <w:rPr>
            <w:noProof/>
            <w:webHidden/>
          </w:rPr>
        </w:r>
        <w:r w:rsidR="00B75E1B">
          <w:rPr>
            <w:noProof/>
            <w:webHidden/>
          </w:rPr>
          <w:fldChar w:fldCharType="separate"/>
        </w:r>
        <w:r w:rsidR="00B75E1B">
          <w:rPr>
            <w:noProof/>
            <w:webHidden/>
          </w:rPr>
          <w:t>10</w:t>
        </w:r>
        <w:r w:rsidR="00B75E1B">
          <w:rPr>
            <w:noProof/>
            <w:webHidden/>
          </w:rPr>
          <w:fldChar w:fldCharType="end"/>
        </w:r>
      </w:hyperlink>
    </w:p>
    <w:p w:rsidR="00B75E1B" w:rsidRDefault="00634191">
      <w:pPr>
        <w:pStyle w:val="TOC1"/>
        <w:tabs>
          <w:tab w:val="left" w:pos="400"/>
          <w:tab w:val="right" w:leader="dot" w:pos="9019"/>
        </w:tabs>
        <w:rPr>
          <w:rFonts w:asciiTheme="minorHAnsi" w:eastAsiaTheme="minorEastAsia" w:hAnsiTheme="minorHAnsi" w:cstheme="minorBidi"/>
          <w:b w:val="0"/>
          <w:bCs w:val="0"/>
          <w:caps w:val="0"/>
          <w:noProof/>
          <w:sz w:val="22"/>
          <w:szCs w:val="22"/>
          <w:lang w:eastAsia="en-GB"/>
        </w:rPr>
      </w:pPr>
      <w:hyperlink w:anchor="_Toc396989116" w:history="1">
        <w:r w:rsidR="00B75E1B" w:rsidRPr="009B34D1">
          <w:rPr>
            <w:rStyle w:val="Hyperlink"/>
            <w:noProof/>
          </w:rPr>
          <w:t>2.</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rFonts w:cs="Arial"/>
            <w:noProof/>
          </w:rPr>
          <w:t>Lloyd’s generic Systems Processes and Procedures</w:t>
        </w:r>
        <w:r w:rsidR="00B75E1B">
          <w:rPr>
            <w:noProof/>
            <w:webHidden/>
          </w:rPr>
          <w:tab/>
        </w:r>
        <w:r w:rsidR="00B75E1B">
          <w:rPr>
            <w:noProof/>
            <w:webHidden/>
          </w:rPr>
          <w:fldChar w:fldCharType="begin"/>
        </w:r>
        <w:r w:rsidR="00B75E1B">
          <w:rPr>
            <w:noProof/>
            <w:webHidden/>
          </w:rPr>
          <w:instrText xml:space="preserve"> PAGEREF _Toc396989116 \h </w:instrText>
        </w:r>
        <w:r w:rsidR="00B75E1B">
          <w:rPr>
            <w:noProof/>
            <w:webHidden/>
          </w:rPr>
        </w:r>
        <w:r w:rsidR="00B75E1B">
          <w:rPr>
            <w:noProof/>
            <w:webHidden/>
          </w:rPr>
          <w:fldChar w:fldCharType="separate"/>
        </w:r>
        <w:r w:rsidR="00B75E1B">
          <w:rPr>
            <w:noProof/>
            <w:webHidden/>
          </w:rPr>
          <w:t>10</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17" w:history="1">
        <w:r w:rsidR="00B75E1B" w:rsidRPr="009B34D1">
          <w:rPr>
            <w:rStyle w:val="Hyperlink"/>
            <w:noProof/>
          </w:rPr>
          <w:t>2.1</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Points to Note When Using the Electronic Claims File</w:t>
        </w:r>
        <w:r w:rsidR="00B75E1B">
          <w:rPr>
            <w:noProof/>
            <w:webHidden/>
          </w:rPr>
          <w:tab/>
        </w:r>
        <w:r w:rsidR="00B75E1B">
          <w:rPr>
            <w:noProof/>
            <w:webHidden/>
          </w:rPr>
          <w:fldChar w:fldCharType="begin"/>
        </w:r>
        <w:r w:rsidR="00B75E1B">
          <w:rPr>
            <w:noProof/>
            <w:webHidden/>
          </w:rPr>
          <w:instrText xml:space="preserve"> PAGEREF _Toc396989117 \h </w:instrText>
        </w:r>
        <w:r w:rsidR="00B75E1B">
          <w:rPr>
            <w:noProof/>
            <w:webHidden/>
          </w:rPr>
        </w:r>
        <w:r w:rsidR="00B75E1B">
          <w:rPr>
            <w:noProof/>
            <w:webHidden/>
          </w:rPr>
          <w:fldChar w:fldCharType="separate"/>
        </w:r>
        <w:r w:rsidR="00B75E1B">
          <w:rPr>
            <w:noProof/>
            <w:webHidden/>
          </w:rPr>
          <w:t>11</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18" w:history="1">
        <w:r w:rsidR="00B75E1B" w:rsidRPr="009B34D1">
          <w:rPr>
            <w:rStyle w:val="Hyperlink"/>
            <w:noProof/>
          </w:rPr>
          <w:t>2.2</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ECF Roles, Responsibilities &amp; Data Requirements</w:t>
        </w:r>
        <w:r w:rsidR="00B75E1B">
          <w:rPr>
            <w:noProof/>
            <w:webHidden/>
          </w:rPr>
          <w:tab/>
        </w:r>
        <w:r w:rsidR="00B75E1B">
          <w:rPr>
            <w:noProof/>
            <w:webHidden/>
          </w:rPr>
          <w:fldChar w:fldCharType="begin"/>
        </w:r>
        <w:r w:rsidR="00B75E1B">
          <w:rPr>
            <w:noProof/>
            <w:webHidden/>
          </w:rPr>
          <w:instrText xml:space="preserve"> PAGEREF _Toc396989118 \h </w:instrText>
        </w:r>
        <w:r w:rsidR="00B75E1B">
          <w:rPr>
            <w:noProof/>
            <w:webHidden/>
          </w:rPr>
        </w:r>
        <w:r w:rsidR="00B75E1B">
          <w:rPr>
            <w:noProof/>
            <w:webHidden/>
          </w:rPr>
          <w:fldChar w:fldCharType="separate"/>
        </w:r>
        <w:r w:rsidR="00B75E1B">
          <w:rPr>
            <w:noProof/>
            <w:webHidden/>
          </w:rPr>
          <w:t>11</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19" w:history="1">
        <w:r w:rsidR="00B75E1B" w:rsidRPr="009B34D1">
          <w:rPr>
            <w:rStyle w:val="Hyperlink"/>
            <w:noProof/>
          </w:rPr>
          <w:t>2.3</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Create or Update Claim File</w:t>
        </w:r>
        <w:r w:rsidR="00B75E1B">
          <w:rPr>
            <w:noProof/>
            <w:webHidden/>
          </w:rPr>
          <w:tab/>
        </w:r>
        <w:r w:rsidR="00B75E1B">
          <w:rPr>
            <w:noProof/>
            <w:webHidden/>
          </w:rPr>
          <w:fldChar w:fldCharType="begin"/>
        </w:r>
        <w:r w:rsidR="00B75E1B">
          <w:rPr>
            <w:noProof/>
            <w:webHidden/>
          </w:rPr>
          <w:instrText xml:space="preserve"> PAGEREF _Toc396989119 \h </w:instrText>
        </w:r>
        <w:r w:rsidR="00B75E1B">
          <w:rPr>
            <w:noProof/>
            <w:webHidden/>
          </w:rPr>
        </w:r>
        <w:r w:rsidR="00B75E1B">
          <w:rPr>
            <w:noProof/>
            <w:webHidden/>
          </w:rPr>
          <w:fldChar w:fldCharType="separate"/>
        </w:r>
        <w:r w:rsidR="00B75E1B">
          <w:rPr>
            <w:noProof/>
            <w:webHidden/>
          </w:rPr>
          <w:t>11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0" w:history="1">
        <w:r w:rsidR="00B75E1B" w:rsidRPr="009B34D1">
          <w:rPr>
            <w:rStyle w:val="Hyperlink"/>
            <w:noProof/>
            <w14:scene3d>
              <w14:camera w14:prst="orthographicFront"/>
              <w14:lightRig w14:rig="threePt" w14:dir="t">
                <w14:rot w14:lat="0" w14:lon="0" w14:rev="0"/>
              </w14:lightRig>
            </w14:scene3d>
          </w:rPr>
          <w:t>2.3.1</w:t>
        </w:r>
        <w:r w:rsidR="00B75E1B">
          <w:rPr>
            <w:rFonts w:asciiTheme="minorHAnsi" w:eastAsiaTheme="minorEastAsia" w:hAnsiTheme="minorHAnsi" w:cstheme="minorBidi"/>
            <w:noProof/>
            <w:sz w:val="22"/>
            <w:szCs w:val="22"/>
            <w:lang w:eastAsia="en-GB"/>
          </w:rPr>
          <w:tab/>
        </w:r>
        <w:r w:rsidR="00B75E1B" w:rsidRPr="009B34D1">
          <w:rPr>
            <w:rStyle w:val="Hyperlink"/>
            <w:noProof/>
          </w:rPr>
          <w:t>Broker Retrieves Placing File, Slip and Matches Coverage</w:t>
        </w:r>
        <w:r w:rsidR="00B75E1B">
          <w:rPr>
            <w:noProof/>
            <w:webHidden/>
          </w:rPr>
          <w:tab/>
        </w:r>
        <w:r w:rsidR="00B75E1B">
          <w:rPr>
            <w:noProof/>
            <w:webHidden/>
          </w:rPr>
          <w:fldChar w:fldCharType="begin"/>
        </w:r>
        <w:r w:rsidR="00B75E1B">
          <w:rPr>
            <w:noProof/>
            <w:webHidden/>
          </w:rPr>
          <w:instrText xml:space="preserve"> PAGEREF _Toc396989120 \h </w:instrText>
        </w:r>
        <w:r w:rsidR="00B75E1B">
          <w:rPr>
            <w:noProof/>
            <w:webHidden/>
          </w:rPr>
        </w:r>
        <w:r w:rsidR="00B75E1B">
          <w:rPr>
            <w:noProof/>
            <w:webHidden/>
          </w:rPr>
          <w:fldChar w:fldCharType="separate"/>
        </w:r>
        <w:r w:rsidR="00B75E1B">
          <w:rPr>
            <w:noProof/>
            <w:webHidden/>
          </w:rPr>
          <w:t>11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1" w:history="1">
        <w:r w:rsidR="00B75E1B" w:rsidRPr="009B34D1">
          <w:rPr>
            <w:rStyle w:val="Hyperlink"/>
            <w:noProof/>
            <w14:scene3d>
              <w14:camera w14:prst="orthographicFront"/>
              <w14:lightRig w14:rig="threePt" w14:dir="t">
                <w14:rot w14:lat="0" w14:lon="0" w14:rev="0"/>
              </w14:lightRig>
            </w14:scene3d>
          </w:rPr>
          <w:t>2.3.2</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Broker Advises Managing Agencies</w:t>
        </w:r>
        <w:r w:rsidR="00B75E1B">
          <w:rPr>
            <w:noProof/>
            <w:webHidden/>
          </w:rPr>
          <w:tab/>
        </w:r>
        <w:r w:rsidR="00B75E1B">
          <w:rPr>
            <w:noProof/>
            <w:webHidden/>
          </w:rPr>
          <w:fldChar w:fldCharType="begin"/>
        </w:r>
        <w:r w:rsidR="00B75E1B">
          <w:rPr>
            <w:noProof/>
            <w:webHidden/>
          </w:rPr>
          <w:instrText xml:space="preserve"> PAGEREF _Toc396989121 \h </w:instrText>
        </w:r>
        <w:r w:rsidR="00B75E1B">
          <w:rPr>
            <w:noProof/>
            <w:webHidden/>
          </w:rPr>
        </w:r>
        <w:r w:rsidR="00B75E1B">
          <w:rPr>
            <w:noProof/>
            <w:webHidden/>
          </w:rPr>
          <w:fldChar w:fldCharType="separate"/>
        </w:r>
        <w:r w:rsidR="00B75E1B">
          <w:rPr>
            <w:noProof/>
            <w:webHidden/>
          </w:rPr>
          <w:t>11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2" w:history="1">
        <w:r w:rsidR="00B75E1B" w:rsidRPr="009B34D1">
          <w:rPr>
            <w:rStyle w:val="Hyperlink"/>
            <w:noProof/>
            <w14:scene3d>
              <w14:camera w14:prst="orthographicFront"/>
              <w14:lightRig w14:rig="threePt" w14:dir="t">
                <w14:rot w14:lat="0" w14:lon="0" w14:rev="0"/>
              </w14:lightRig>
            </w14:scene3d>
          </w:rPr>
          <w:t>2.3.3</w:t>
        </w:r>
        <w:r w:rsidR="00B75E1B">
          <w:rPr>
            <w:rFonts w:asciiTheme="minorHAnsi" w:eastAsiaTheme="minorEastAsia" w:hAnsiTheme="minorHAnsi" w:cstheme="minorBidi"/>
            <w:noProof/>
            <w:sz w:val="22"/>
            <w:szCs w:val="22"/>
            <w:lang w:eastAsia="en-GB"/>
          </w:rPr>
          <w:tab/>
        </w:r>
        <w:r w:rsidR="00B75E1B" w:rsidRPr="009B34D1">
          <w:rPr>
            <w:rStyle w:val="Hyperlink"/>
            <w:noProof/>
          </w:rPr>
          <w:t>First Advice With Settlement</w:t>
        </w:r>
        <w:r w:rsidR="00B75E1B">
          <w:rPr>
            <w:noProof/>
            <w:webHidden/>
          </w:rPr>
          <w:tab/>
        </w:r>
        <w:r w:rsidR="00B75E1B">
          <w:rPr>
            <w:noProof/>
            <w:webHidden/>
          </w:rPr>
          <w:fldChar w:fldCharType="begin"/>
        </w:r>
        <w:r w:rsidR="00B75E1B">
          <w:rPr>
            <w:noProof/>
            <w:webHidden/>
          </w:rPr>
          <w:instrText xml:space="preserve"> PAGEREF _Toc396989122 \h </w:instrText>
        </w:r>
        <w:r w:rsidR="00B75E1B">
          <w:rPr>
            <w:noProof/>
            <w:webHidden/>
          </w:rPr>
        </w:r>
        <w:r w:rsidR="00B75E1B">
          <w:rPr>
            <w:noProof/>
            <w:webHidden/>
          </w:rPr>
          <w:fldChar w:fldCharType="separate"/>
        </w:r>
        <w:r w:rsidR="00B75E1B">
          <w:rPr>
            <w:noProof/>
            <w:webHidden/>
          </w:rPr>
          <w:t>12</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3" w:history="1">
        <w:r w:rsidR="00B75E1B" w:rsidRPr="009B34D1">
          <w:rPr>
            <w:rStyle w:val="Hyperlink"/>
            <w:noProof/>
            <w14:scene3d>
              <w14:camera w14:prst="orthographicFront"/>
              <w14:lightRig w14:rig="threePt" w14:dir="t">
                <w14:rot w14:lat="0" w14:lon="0" w14:rev="0"/>
              </w14:lightRig>
            </w14:scene3d>
          </w:rPr>
          <w:t>2.3.4</w:t>
        </w:r>
        <w:r w:rsidR="00B75E1B">
          <w:rPr>
            <w:rFonts w:asciiTheme="minorHAnsi" w:eastAsiaTheme="minorEastAsia" w:hAnsiTheme="minorHAnsi" w:cstheme="minorBidi"/>
            <w:noProof/>
            <w:sz w:val="22"/>
            <w:szCs w:val="22"/>
            <w:lang w:eastAsia="en-GB"/>
          </w:rPr>
          <w:tab/>
        </w:r>
        <w:r w:rsidR="00B75E1B" w:rsidRPr="009B34D1">
          <w:rPr>
            <w:rStyle w:val="Hyperlink"/>
            <w:noProof/>
          </w:rPr>
          <w:t>Settlement Currency</w:t>
        </w:r>
        <w:r w:rsidR="00B75E1B">
          <w:rPr>
            <w:noProof/>
            <w:webHidden/>
          </w:rPr>
          <w:tab/>
        </w:r>
        <w:r w:rsidR="00B75E1B">
          <w:rPr>
            <w:noProof/>
            <w:webHidden/>
          </w:rPr>
          <w:fldChar w:fldCharType="begin"/>
        </w:r>
        <w:r w:rsidR="00B75E1B">
          <w:rPr>
            <w:noProof/>
            <w:webHidden/>
          </w:rPr>
          <w:instrText xml:space="preserve"> PAGEREF _Toc396989123 \h </w:instrText>
        </w:r>
        <w:r w:rsidR="00B75E1B">
          <w:rPr>
            <w:noProof/>
            <w:webHidden/>
          </w:rPr>
        </w:r>
        <w:r w:rsidR="00B75E1B">
          <w:rPr>
            <w:noProof/>
            <w:webHidden/>
          </w:rPr>
          <w:fldChar w:fldCharType="separate"/>
        </w:r>
        <w:r w:rsidR="00B75E1B">
          <w:rPr>
            <w:noProof/>
            <w:webHidden/>
          </w:rPr>
          <w:t>13</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4" w:history="1">
        <w:r w:rsidR="00B75E1B" w:rsidRPr="009B34D1">
          <w:rPr>
            <w:rStyle w:val="Hyperlink"/>
            <w:noProof/>
            <w14:scene3d>
              <w14:camera w14:prst="orthographicFront"/>
              <w14:lightRig w14:rig="threePt" w14:dir="t">
                <w14:rot w14:lat="0" w14:lon="0" w14:rev="0"/>
              </w14:lightRig>
            </w14:scene3d>
          </w:rPr>
          <w:t>2.3.5</w:t>
        </w:r>
        <w:r w:rsidR="00B75E1B">
          <w:rPr>
            <w:rFonts w:asciiTheme="minorHAnsi" w:eastAsiaTheme="minorEastAsia" w:hAnsiTheme="minorHAnsi" w:cstheme="minorBidi"/>
            <w:noProof/>
            <w:sz w:val="22"/>
            <w:szCs w:val="22"/>
            <w:lang w:eastAsia="en-GB"/>
          </w:rPr>
          <w:tab/>
        </w:r>
        <w:r w:rsidR="00B75E1B" w:rsidRPr="009B34D1">
          <w:rPr>
            <w:rStyle w:val="Hyperlink"/>
            <w:noProof/>
          </w:rPr>
          <w:t>Fee Bills</w:t>
        </w:r>
        <w:r w:rsidR="00B75E1B">
          <w:rPr>
            <w:noProof/>
            <w:webHidden/>
          </w:rPr>
          <w:tab/>
        </w:r>
        <w:r w:rsidR="00B75E1B">
          <w:rPr>
            <w:noProof/>
            <w:webHidden/>
          </w:rPr>
          <w:fldChar w:fldCharType="begin"/>
        </w:r>
        <w:r w:rsidR="00B75E1B">
          <w:rPr>
            <w:noProof/>
            <w:webHidden/>
          </w:rPr>
          <w:instrText xml:space="preserve"> PAGEREF _Toc396989124 \h </w:instrText>
        </w:r>
        <w:r w:rsidR="00B75E1B">
          <w:rPr>
            <w:noProof/>
            <w:webHidden/>
          </w:rPr>
        </w:r>
        <w:r w:rsidR="00B75E1B">
          <w:rPr>
            <w:noProof/>
            <w:webHidden/>
          </w:rPr>
          <w:fldChar w:fldCharType="separate"/>
        </w:r>
        <w:r w:rsidR="00B75E1B">
          <w:rPr>
            <w:noProof/>
            <w:webHidden/>
          </w:rPr>
          <w:t>13</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5" w:history="1">
        <w:r w:rsidR="00B75E1B" w:rsidRPr="009B34D1">
          <w:rPr>
            <w:rStyle w:val="Hyperlink"/>
            <w:noProof/>
            <w14:scene3d>
              <w14:camera w14:prst="orthographicFront"/>
              <w14:lightRig w14:rig="threePt" w14:dir="t">
                <w14:rot w14:lat="0" w14:lon="0" w14:rev="0"/>
              </w14:lightRig>
            </w14:scene3d>
          </w:rPr>
          <w:t>2.3.6</w:t>
        </w:r>
        <w:r w:rsidR="00B75E1B">
          <w:rPr>
            <w:rFonts w:asciiTheme="minorHAnsi" w:eastAsiaTheme="minorEastAsia" w:hAnsiTheme="minorHAnsi" w:cstheme="minorBidi"/>
            <w:noProof/>
            <w:sz w:val="22"/>
            <w:szCs w:val="22"/>
            <w:lang w:eastAsia="en-GB"/>
          </w:rPr>
          <w:tab/>
        </w:r>
        <w:r w:rsidR="00B75E1B" w:rsidRPr="009B34D1">
          <w:rPr>
            <w:rStyle w:val="Hyperlink"/>
            <w:noProof/>
          </w:rPr>
          <w:t>Slip Orders</w:t>
        </w:r>
        <w:r w:rsidR="00B75E1B">
          <w:rPr>
            <w:noProof/>
            <w:webHidden/>
          </w:rPr>
          <w:tab/>
        </w:r>
        <w:r w:rsidR="00B75E1B">
          <w:rPr>
            <w:noProof/>
            <w:webHidden/>
          </w:rPr>
          <w:fldChar w:fldCharType="begin"/>
        </w:r>
        <w:r w:rsidR="00B75E1B">
          <w:rPr>
            <w:noProof/>
            <w:webHidden/>
          </w:rPr>
          <w:instrText xml:space="preserve"> PAGEREF _Toc396989125 \h </w:instrText>
        </w:r>
        <w:r w:rsidR="00B75E1B">
          <w:rPr>
            <w:noProof/>
            <w:webHidden/>
          </w:rPr>
        </w:r>
        <w:r w:rsidR="00B75E1B">
          <w:rPr>
            <w:noProof/>
            <w:webHidden/>
          </w:rPr>
          <w:fldChar w:fldCharType="separate"/>
        </w:r>
        <w:r w:rsidR="00B75E1B">
          <w:rPr>
            <w:noProof/>
            <w:webHidden/>
          </w:rPr>
          <w:t>14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6" w:history="1">
        <w:r w:rsidR="00B75E1B" w:rsidRPr="009B34D1">
          <w:rPr>
            <w:rStyle w:val="Hyperlink"/>
            <w:noProof/>
            <w14:scene3d>
              <w14:camera w14:prst="orthographicFront"/>
              <w14:lightRig w14:rig="threePt" w14:dir="t">
                <w14:rot w14:lat="0" w14:lon="0" w14:rev="0"/>
              </w14:lightRig>
            </w14:scene3d>
          </w:rPr>
          <w:t>2.3.7</w:t>
        </w:r>
        <w:r w:rsidR="00B75E1B">
          <w:rPr>
            <w:rFonts w:asciiTheme="minorHAnsi" w:eastAsiaTheme="minorEastAsia" w:hAnsiTheme="minorHAnsi" w:cstheme="minorBidi"/>
            <w:noProof/>
            <w:sz w:val="22"/>
            <w:szCs w:val="22"/>
            <w:lang w:eastAsia="en-GB"/>
          </w:rPr>
          <w:tab/>
        </w:r>
        <w:r w:rsidR="00B75E1B" w:rsidRPr="009B34D1">
          <w:rPr>
            <w:rStyle w:val="Hyperlink"/>
            <w:noProof/>
          </w:rPr>
          <w:t>Claims on Unsigned Risks</w:t>
        </w:r>
        <w:r w:rsidR="00B75E1B">
          <w:rPr>
            <w:noProof/>
            <w:webHidden/>
          </w:rPr>
          <w:tab/>
        </w:r>
        <w:r w:rsidR="00B75E1B">
          <w:rPr>
            <w:noProof/>
            <w:webHidden/>
          </w:rPr>
          <w:fldChar w:fldCharType="begin"/>
        </w:r>
        <w:r w:rsidR="00B75E1B">
          <w:rPr>
            <w:noProof/>
            <w:webHidden/>
          </w:rPr>
          <w:instrText xml:space="preserve"> PAGEREF _Toc396989126 \h </w:instrText>
        </w:r>
        <w:r w:rsidR="00B75E1B">
          <w:rPr>
            <w:noProof/>
            <w:webHidden/>
          </w:rPr>
        </w:r>
        <w:r w:rsidR="00B75E1B">
          <w:rPr>
            <w:noProof/>
            <w:webHidden/>
          </w:rPr>
          <w:fldChar w:fldCharType="separate"/>
        </w:r>
        <w:r w:rsidR="00B75E1B">
          <w:rPr>
            <w:noProof/>
            <w:webHidden/>
          </w:rPr>
          <w:t>14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7" w:history="1">
        <w:r w:rsidR="00B75E1B" w:rsidRPr="009B34D1">
          <w:rPr>
            <w:rStyle w:val="Hyperlink"/>
            <w:noProof/>
            <w14:scene3d>
              <w14:camera w14:prst="orthographicFront"/>
              <w14:lightRig w14:rig="threePt" w14:dir="t">
                <w14:rot w14:lat="0" w14:lon="0" w14:rev="0"/>
              </w14:lightRig>
            </w14:scene3d>
          </w:rPr>
          <w:t>2.3.8</w:t>
        </w:r>
        <w:r w:rsidR="00B75E1B">
          <w:rPr>
            <w:rFonts w:asciiTheme="minorHAnsi" w:eastAsiaTheme="minorEastAsia" w:hAnsiTheme="minorHAnsi" w:cstheme="minorBidi"/>
            <w:noProof/>
            <w:sz w:val="22"/>
            <w:szCs w:val="22"/>
            <w:lang w:eastAsia="en-GB"/>
          </w:rPr>
          <w:tab/>
        </w:r>
        <w:r w:rsidR="00B75E1B" w:rsidRPr="009B34D1">
          <w:rPr>
            <w:rStyle w:val="Hyperlink"/>
            <w:noProof/>
          </w:rPr>
          <w:t>Notification of Claims</w:t>
        </w:r>
        <w:r w:rsidR="00B75E1B">
          <w:rPr>
            <w:noProof/>
            <w:webHidden/>
          </w:rPr>
          <w:tab/>
        </w:r>
        <w:r w:rsidR="00B75E1B">
          <w:rPr>
            <w:noProof/>
            <w:webHidden/>
          </w:rPr>
          <w:fldChar w:fldCharType="begin"/>
        </w:r>
        <w:r w:rsidR="00B75E1B">
          <w:rPr>
            <w:noProof/>
            <w:webHidden/>
          </w:rPr>
          <w:instrText xml:space="preserve"> PAGEREF _Toc396989127 \h </w:instrText>
        </w:r>
        <w:r w:rsidR="00B75E1B">
          <w:rPr>
            <w:noProof/>
            <w:webHidden/>
          </w:rPr>
        </w:r>
        <w:r w:rsidR="00B75E1B">
          <w:rPr>
            <w:noProof/>
            <w:webHidden/>
          </w:rPr>
          <w:fldChar w:fldCharType="separate"/>
        </w:r>
        <w:r w:rsidR="00B75E1B">
          <w:rPr>
            <w:noProof/>
            <w:webHidden/>
          </w:rPr>
          <w:t>14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8" w:history="1">
        <w:r w:rsidR="00B75E1B" w:rsidRPr="009B34D1">
          <w:rPr>
            <w:rStyle w:val="Hyperlink"/>
            <w:noProof/>
            <w14:scene3d>
              <w14:camera w14:prst="orthographicFront"/>
              <w14:lightRig w14:rig="threePt" w14:dir="t">
                <w14:rot w14:lat="0" w14:lon="0" w14:rev="0"/>
              </w14:lightRig>
            </w14:scene3d>
          </w:rPr>
          <w:t>2.3.9</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Document Management by the Broker</w:t>
        </w:r>
        <w:r w:rsidR="00B75E1B">
          <w:rPr>
            <w:noProof/>
            <w:webHidden/>
          </w:rPr>
          <w:tab/>
        </w:r>
        <w:r w:rsidR="00B75E1B">
          <w:rPr>
            <w:noProof/>
            <w:webHidden/>
          </w:rPr>
          <w:fldChar w:fldCharType="begin"/>
        </w:r>
        <w:r w:rsidR="00B75E1B">
          <w:rPr>
            <w:noProof/>
            <w:webHidden/>
          </w:rPr>
          <w:instrText xml:space="preserve"> PAGEREF _Toc396989128 \h </w:instrText>
        </w:r>
        <w:r w:rsidR="00B75E1B">
          <w:rPr>
            <w:noProof/>
            <w:webHidden/>
          </w:rPr>
        </w:r>
        <w:r w:rsidR="00B75E1B">
          <w:rPr>
            <w:noProof/>
            <w:webHidden/>
          </w:rPr>
          <w:fldChar w:fldCharType="separate"/>
        </w:r>
        <w:r w:rsidR="00B75E1B">
          <w:rPr>
            <w:noProof/>
            <w:webHidden/>
          </w:rPr>
          <w:t>14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29" w:history="1">
        <w:r w:rsidR="00B75E1B" w:rsidRPr="009B34D1">
          <w:rPr>
            <w:rStyle w:val="Hyperlink"/>
            <w:noProof/>
            <w14:scene3d>
              <w14:camera w14:prst="orthographicFront"/>
              <w14:lightRig w14:rig="threePt" w14:dir="t">
                <w14:rot w14:lat="0" w14:lon="0" w14:rev="0"/>
              </w14:lightRig>
            </w14:scene3d>
          </w:rPr>
          <w:t>2.3.10</w:t>
        </w:r>
        <w:r w:rsidR="00B75E1B">
          <w:rPr>
            <w:rFonts w:asciiTheme="minorHAnsi" w:eastAsiaTheme="minorEastAsia" w:hAnsiTheme="minorHAnsi" w:cstheme="minorBidi"/>
            <w:noProof/>
            <w:sz w:val="22"/>
            <w:szCs w:val="22"/>
            <w:lang w:eastAsia="en-GB"/>
          </w:rPr>
          <w:tab/>
        </w:r>
        <w:r w:rsidR="00B75E1B" w:rsidRPr="009B34D1">
          <w:rPr>
            <w:rStyle w:val="Hyperlink"/>
            <w:noProof/>
          </w:rPr>
          <w:t>Document Origin Information</w:t>
        </w:r>
        <w:r w:rsidR="00B75E1B">
          <w:rPr>
            <w:noProof/>
            <w:webHidden/>
          </w:rPr>
          <w:tab/>
        </w:r>
        <w:r w:rsidR="00B75E1B">
          <w:rPr>
            <w:noProof/>
            <w:webHidden/>
          </w:rPr>
          <w:fldChar w:fldCharType="begin"/>
        </w:r>
        <w:r w:rsidR="00B75E1B">
          <w:rPr>
            <w:noProof/>
            <w:webHidden/>
          </w:rPr>
          <w:instrText xml:space="preserve"> PAGEREF _Toc396989129 \h </w:instrText>
        </w:r>
        <w:r w:rsidR="00B75E1B">
          <w:rPr>
            <w:noProof/>
            <w:webHidden/>
          </w:rPr>
        </w:r>
        <w:r w:rsidR="00B75E1B">
          <w:rPr>
            <w:noProof/>
            <w:webHidden/>
          </w:rPr>
          <w:fldChar w:fldCharType="separate"/>
        </w:r>
        <w:r w:rsidR="00B75E1B">
          <w:rPr>
            <w:noProof/>
            <w:webHidden/>
          </w:rPr>
          <w:t>16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30" w:history="1">
        <w:r w:rsidR="00B75E1B" w:rsidRPr="009B34D1">
          <w:rPr>
            <w:rStyle w:val="Hyperlink"/>
            <w:noProof/>
            <w14:scene3d>
              <w14:camera w14:prst="orthographicFront"/>
              <w14:lightRig w14:rig="threePt" w14:dir="t">
                <w14:rot w14:lat="0" w14:lon="0" w14:rev="0"/>
              </w14:lightRig>
            </w14:scene3d>
          </w:rPr>
          <w:t>2.3.11</w:t>
        </w:r>
        <w:r w:rsidR="00B75E1B">
          <w:rPr>
            <w:rFonts w:asciiTheme="minorHAnsi" w:eastAsiaTheme="minorEastAsia" w:hAnsiTheme="minorHAnsi" w:cstheme="minorBidi"/>
            <w:noProof/>
            <w:sz w:val="22"/>
            <w:szCs w:val="22"/>
            <w:lang w:eastAsia="en-GB"/>
          </w:rPr>
          <w:tab/>
        </w:r>
        <w:r w:rsidR="00B75E1B" w:rsidRPr="009B34D1">
          <w:rPr>
            <w:rStyle w:val="Hyperlink"/>
            <w:noProof/>
          </w:rPr>
          <w:t>Document Guidelines</w:t>
        </w:r>
        <w:r w:rsidR="00B75E1B">
          <w:rPr>
            <w:noProof/>
            <w:webHidden/>
          </w:rPr>
          <w:tab/>
        </w:r>
        <w:r w:rsidR="00B75E1B">
          <w:rPr>
            <w:noProof/>
            <w:webHidden/>
          </w:rPr>
          <w:fldChar w:fldCharType="begin"/>
        </w:r>
        <w:r w:rsidR="00B75E1B">
          <w:rPr>
            <w:noProof/>
            <w:webHidden/>
          </w:rPr>
          <w:instrText xml:space="preserve"> PAGEREF _Toc396989130 \h </w:instrText>
        </w:r>
        <w:r w:rsidR="00B75E1B">
          <w:rPr>
            <w:noProof/>
            <w:webHidden/>
          </w:rPr>
        </w:r>
        <w:r w:rsidR="00B75E1B">
          <w:rPr>
            <w:noProof/>
            <w:webHidden/>
          </w:rPr>
          <w:fldChar w:fldCharType="separate"/>
        </w:r>
        <w:r w:rsidR="00B75E1B">
          <w:rPr>
            <w:noProof/>
            <w:webHidden/>
          </w:rPr>
          <w:t>16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31" w:history="1">
        <w:r w:rsidR="00B75E1B" w:rsidRPr="009B34D1">
          <w:rPr>
            <w:rStyle w:val="Hyperlink"/>
            <w:noProof/>
            <w14:scene3d>
              <w14:camera w14:prst="orthographicFront"/>
              <w14:lightRig w14:rig="threePt" w14:dir="t">
                <w14:rot w14:lat="0" w14:lon="0" w14:rev="0"/>
              </w14:lightRig>
            </w14:scene3d>
          </w:rPr>
          <w:t>2.3.12</w:t>
        </w:r>
        <w:r w:rsidR="00B75E1B">
          <w:rPr>
            <w:rFonts w:asciiTheme="minorHAnsi" w:eastAsiaTheme="minorEastAsia" w:hAnsiTheme="minorHAnsi" w:cstheme="minorBidi"/>
            <w:noProof/>
            <w:sz w:val="22"/>
            <w:szCs w:val="22"/>
            <w:lang w:eastAsia="en-GB"/>
          </w:rPr>
          <w:tab/>
        </w:r>
        <w:r w:rsidR="00B75E1B" w:rsidRPr="009B34D1">
          <w:rPr>
            <w:rStyle w:val="Hyperlink"/>
            <w:noProof/>
          </w:rPr>
          <w:t>Endorsements</w:t>
        </w:r>
        <w:r w:rsidR="00B75E1B">
          <w:rPr>
            <w:noProof/>
            <w:webHidden/>
          </w:rPr>
          <w:tab/>
        </w:r>
        <w:r w:rsidR="00B75E1B">
          <w:rPr>
            <w:noProof/>
            <w:webHidden/>
          </w:rPr>
          <w:fldChar w:fldCharType="begin"/>
        </w:r>
        <w:r w:rsidR="00B75E1B">
          <w:rPr>
            <w:noProof/>
            <w:webHidden/>
          </w:rPr>
          <w:instrText xml:space="preserve"> PAGEREF _Toc396989131 \h </w:instrText>
        </w:r>
        <w:r w:rsidR="00B75E1B">
          <w:rPr>
            <w:noProof/>
            <w:webHidden/>
          </w:rPr>
        </w:r>
        <w:r w:rsidR="00B75E1B">
          <w:rPr>
            <w:noProof/>
            <w:webHidden/>
          </w:rPr>
          <w:fldChar w:fldCharType="separate"/>
        </w:r>
        <w:r w:rsidR="00B75E1B">
          <w:rPr>
            <w:noProof/>
            <w:webHidden/>
          </w:rPr>
          <w:t>17</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32" w:history="1">
        <w:r w:rsidR="00B75E1B" w:rsidRPr="009B34D1">
          <w:rPr>
            <w:rStyle w:val="Hyperlink"/>
            <w:noProof/>
          </w:rPr>
          <w:t>2.4</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Establish Agreement Parties</w:t>
        </w:r>
        <w:r w:rsidR="00B75E1B">
          <w:rPr>
            <w:noProof/>
            <w:webHidden/>
          </w:rPr>
          <w:tab/>
        </w:r>
        <w:r w:rsidR="00B75E1B">
          <w:rPr>
            <w:noProof/>
            <w:webHidden/>
          </w:rPr>
          <w:fldChar w:fldCharType="begin"/>
        </w:r>
        <w:r w:rsidR="00B75E1B">
          <w:rPr>
            <w:noProof/>
            <w:webHidden/>
          </w:rPr>
          <w:instrText xml:space="preserve"> PAGEREF _Toc396989132 \h </w:instrText>
        </w:r>
        <w:r w:rsidR="00B75E1B">
          <w:rPr>
            <w:noProof/>
            <w:webHidden/>
          </w:rPr>
        </w:r>
        <w:r w:rsidR="00B75E1B">
          <w:rPr>
            <w:noProof/>
            <w:webHidden/>
          </w:rPr>
          <w:fldChar w:fldCharType="separate"/>
        </w:r>
        <w:r w:rsidR="00B75E1B">
          <w:rPr>
            <w:noProof/>
            <w:webHidden/>
          </w:rPr>
          <w:t>17</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33" w:history="1">
        <w:r w:rsidR="00B75E1B" w:rsidRPr="009B34D1">
          <w:rPr>
            <w:rStyle w:val="Hyperlink"/>
            <w:noProof/>
            <w14:scene3d>
              <w14:camera w14:prst="orthographicFront"/>
              <w14:lightRig w14:rig="threePt" w14:dir="t">
                <w14:rot w14:lat="0" w14:lon="0" w14:rev="0"/>
              </w14:lightRig>
            </w14:scene3d>
          </w:rPr>
          <w:t>2.4.1</w:t>
        </w:r>
        <w:r w:rsidR="00B75E1B">
          <w:rPr>
            <w:rFonts w:asciiTheme="minorHAnsi" w:eastAsiaTheme="minorEastAsia" w:hAnsiTheme="minorHAnsi" w:cstheme="minorBidi"/>
            <w:noProof/>
            <w:sz w:val="22"/>
            <w:szCs w:val="22"/>
            <w:lang w:eastAsia="en-GB"/>
          </w:rPr>
          <w:tab/>
        </w:r>
        <w:r w:rsidR="00B75E1B" w:rsidRPr="009B34D1">
          <w:rPr>
            <w:rStyle w:val="Hyperlink"/>
            <w:noProof/>
          </w:rPr>
          <w:t>Generic Process</w:t>
        </w:r>
        <w:r w:rsidR="00B75E1B">
          <w:rPr>
            <w:noProof/>
            <w:webHidden/>
          </w:rPr>
          <w:tab/>
        </w:r>
        <w:r w:rsidR="00B75E1B">
          <w:rPr>
            <w:noProof/>
            <w:webHidden/>
          </w:rPr>
          <w:fldChar w:fldCharType="begin"/>
        </w:r>
        <w:r w:rsidR="00B75E1B">
          <w:rPr>
            <w:noProof/>
            <w:webHidden/>
          </w:rPr>
          <w:instrText xml:space="preserve"> PAGEREF _Toc396989133 \h </w:instrText>
        </w:r>
        <w:r w:rsidR="00B75E1B">
          <w:rPr>
            <w:noProof/>
            <w:webHidden/>
          </w:rPr>
        </w:r>
        <w:r w:rsidR="00B75E1B">
          <w:rPr>
            <w:noProof/>
            <w:webHidden/>
          </w:rPr>
          <w:fldChar w:fldCharType="separate"/>
        </w:r>
        <w:r w:rsidR="00B75E1B">
          <w:rPr>
            <w:noProof/>
            <w:webHidden/>
          </w:rPr>
          <w:t>17</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34" w:history="1">
        <w:r w:rsidR="00B75E1B" w:rsidRPr="009B34D1">
          <w:rPr>
            <w:rStyle w:val="Hyperlink"/>
            <w:noProof/>
            <w14:scene3d>
              <w14:camera w14:prst="orthographicFront"/>
              <w14:lightRig w14:rig="threePt" w14:dir="t">
                <w14:rot w14:lat="0" w14:lon="0" w14:rev="0"/>
              </w14:lightRig>
            </w14:scene3d>
          </w:rPr>
          <w:t>2.4.2</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Variations</w:t>
        </w:r>
        <w:r w:rsidR="00B75E1B">
          <w:rPr>
            <w:noProof/>
            <w:webHidden/>
          </w:rPr>
          <w:tab/>
        </w:r>
        <w:r w:rsidR="00B75E1B">
          <w:rPr>
            <w:noProof/>
            <w:webHidden/>
          </w:rPr>
          <w:fldChar w:fldCharType="begin"/>
        </w:r>
        <w:r w:rsidR="00B75E1B">
          <w:rPr>
            <w:noProof/>
            <w:webHidden/>
          </w:rPr>
          <w:instrText xml:space="preserve"> PAGEREF _Toc396989134 \h </w:instrText>
        </w:r>
        <w:r w:rsidR="00B75E1B">
          <w:rPr>
            <w:noProof/>
            <w:webHidden/>
          </w:rPr>
        </w:r>
        <w:r w:rsidR="00B75E1B">
          <w:rPr>
            <w:noProof/>
            <w:webHidden/>
          </w:rPr>
          <w:fldChar w:fldCharType="separate"/>
        </w:r>
        <w:r w:rsidR="00B75E1B">
          <w:rPr>
            <w:noProof/>
            <w:webHidden/>
          </w:rPr>
          <w:t>17</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35" w:history="1">
        <w:r w:rsidR="00B75E1B" w:rsidRPr="009B34D1">
          <w:rPr>
            <w:rStyle w:val="Hyperlink"/>
            <w:noProof/>
            <w14:scene3d>
              <w14:camera w14:prst="orthographicFront"/>
              <w14:lightRig w14:rig="threePt" w14:dir="t">
                <w14:rot w14:lat="0" w14:lon="0" w14:rev="0"/>
              </w14:lightRig>
            </w14:scene3d>
          </w:rPr>
          <w:t>2.4.3</w:t>
        </w:r>
        <w:r w:rsidR="00B75E1B">
          <w:rPr>
            <w:rFonts w:asciiTheme="minorHAnsi" w:eastAsiaTheme="minorEastAsia" w:hAnsiTheme="minorHAnsi" w:cstheme="minorBidi"/>
            <w:noProof/>
            <w:sz w:val="22"/>
            <w:szCs w:val="22"/>
            <w:lang w:eastAsia="en-GB"/>
          </w:rPr>
          <w:tab/>
        </w:r>
        <w:r w:rsidR="00B75E1B" w:rsidRPr="009B34D1">
          <w:rPr>
            <w:rStyle w:val="Hyperlink"/>
            <w:noProof/>
          </w:rPr>
          <w:t>Process When a Second Agreement Party (other than XCS) is involved</w:t>
        </w:r>
        <w:r w:rsidR="00B75E1B">
          <w:rPr>
            <w:noProof/>
            <w:webHidden/>
          </w:rPr>
          <w:tab/>
        </w:r>
        <w:r w:rsidR="00B75E1B">
          <w:rPr>
            <w:noProof/>
            <w:webHidden/>
          </w:rPr>
          <w:fldChar w:fldCharType="begin"/>
        </w:r>
        <w:r w:rsidR="00B75E1B">
          <w:rPr>
            <w:noProof/>
            <w:webHidden/>
          </w:rPr>
          <w:instrText xml:space="preserve"> PAGEREF _Toc396989135 \h </w:instrText>
        </w:r>
        <w:r w:rsidR="00B75E1B">
          <w:rPr>
            <w:noProof/>
            <w:webHidden/>
          </w:rPr>
        </w:r>
        <w:r w:rsidR="00B75E1B">
          <w:rPr>
            <w:noProof/>
            <w:webHidden/>
          </w:rPr>
          <w:fldChar w:fldCharType="separate"/>
        </w:r>
        <w:r w:rsidR="00B75E1B">
          <w:rPr>
            <w:noProof/>
            <w:webHidden/>
          </w:rPr>
          <w:t>18</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36" w:history="1">
        <w:r w:rsidR="00B75E1B" w:rsidRPr="009B34D1">
          <w:rPr>
            <w:rStyle w:val="Hyperlink"/>
            <w:noProof/>
            <w14:scene3d>
              <w14:camera w14:prst="orthographicFront"/>
              <w14:lightRig w14:rig="threePt" w14:dir="t">
                <w14:rot w14:lat="0" w14:lon="0" w14:rev="0"/>
              </w14:lightRig>
            </w14:scene3d>
          </w:rPr>
          <w:t>2.4.4</w:t>
        </w:r>
        <w:r w:rsidR="00B75E1B">
          <w:rPr>
            <w:rFonts w:asciiTheme="minorHAnsi" w:eastAsiaTheme="minorEastAsia" w:hAnsiTheme="minorHAnsi" w:cstheme="minorBidi"/>
            <w:noProof/>
            <w:sz w:val="22"/>
            <w:szCs w:val="22"/>
            <w:lang w:eastAsia="en-GB"/>
          </w:rPr>
          <w:tab/>
        </w:r>
        <w:r w:rsidR="00B75E1B" w:rsidRPr="009B34D1">
          <w:rPr>
            <w:rStyle w:val="Hyperlink"/>
            <w:noProof/>
          </w:rPr>
          <w:t>Claims Transformation Programme indicators</w:t>
        </w:r>
        <w:r w:rsidR="00B75E1B">
          <w:rPr>
            <w:noProof/>
            <w:webHidden/>
          </w:rPr>
          <w:tab/>
        </w:r>
        <w:r w:rsidR="00B75E1B">
          <w:rPr>
            <w:noProof/>
            <w:webHidden/>
          </w:rPr>
          <w:fldChar w:fldCharType="begin"/>
        </w:r>
        <w:r w:rsidR="00B75E1B">
          <w:rPr>
            <w:noProof/>
            <w:webHidden/>
          </w:rPr>
          <w:instrText xml:space="preserve"> PAGEREF _Toc396989136 \h </w:instrText>
        </w:r>
        <w:r w:rsidR="00B75E1B">
          <w:rPr>
            <w:noProof/>
            <w:webHidden/>
          </w:rPr>
        </w:r>
        <w:r w:rsidR="00B75E1B">
          <w:rPr>
            <w:noProof/>
            <w:webHidden/>
          </w:rPr>
          <w:fldChar w:fldCharType="separate"/>
        </w:r>
        <w:r w:rsidR="00B75E1B">
          <w:rPr>
            <w:noProof/>
            <w:webHidden/>
          </w:rPr>
          <w:t>18</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37" w:history="1">
        <w:r w:rsidR="00B75E1B" w:rsidRPr="009B34D1">
          <w:rPr>
            <w:rStyle w:val="Hyperlink"/>
            <w:noProof/>
            <w14:scene3d>
              <w14:camera w14:prst="orthographicFront"/>
              <w14:lightRig w14:rig="threePt" w14:dir="t">
                <w14:rot w14:lat="0" w14:lon="0" w14:rev="0"/>
              </w14:lightRig>
            </w14:scene3d>
          </w:rPr>
          <w:t>2.4.5</w:t>
        </w:r>
        <w:r w:rsidR="00B75E1B">
          <w:rPr>
            <w:rFonts w:asciiTheme="minorHAnsi" w:eastAsiaTheme="minorEastAsia" w:hAnsiTheme="minorHAnsi" w:cstheme="minorBidi"/>
            <w:noProof/>
            <w:sz w:val="22"/>
            <w:szCs w:val="22"/>
            <w:lang w:eastAsia="en-GB"/>
          </w:rPr>
          <w:tab/>
        </w:r>
        <w:r w:rsidR="00B75E1B" w:rsidRPr="009B34D1">
          <w:rPr>
            <w:rStyle w:val="Hyperlink"/>
            <w:noProof/>
          </w:rPr>
          <w:t>Claims Scheme Indicator</w:t>
        </w:r>
        <w:r w:rsidR="00B75E1B">
          <w:rPr>
            <w:noProof/>
            <w:webHidden/>
          </w:rPr>
          <w:tab/>
        </w:r>
        <w:r w:rsidR="00B75E1B">
          <w:rPr>
            <w:noProof/>
            <w:webHidden/>
          </w:rPr>
          <w:fldChar w:fldCharType="begin"/>
        </w:r>
        <w:r w:rsidR="00B75E1B">
          <w:rPr>
            <w:noProof/>
            <w:webHidden/>
          </w:rPr>
          <w:instrText xml:space="preserve"> PAGEREF _Toc396989137 \h </w:instrText>
        </w:r>
        <w:r w:rsidR="00B75E1B">
          <w:rPr>
            <w:noProof/>
            <w:webHidden/>
          </w:rPr>
        </w:r>
        <w:r w:rsidR="00B75E1B">
          <w:rPr>
            <w:noProof/>
            <w:webHidden/>
          </w:rPr>
          <w:fldChar w:fldCharType="separate"/>
        </w:r>
        <w:r w:rsidR="00B75E1B">
          <w:rPr>
            <w:noProof/>
            <w:webHidden/>
          </w:rPr>
          <w:t>18</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38" w:history="1">
        <w:r w:rsidR="00B75E1B" w:rsidRPr="009B34D1">
          <w:rPr>
            <w:rStyle w:val="Hyperlink"/>
            <w:noProof/>
            <w14:scene3d>
              <w14:camera w14:prst="orthographicFront"/>
              <w14:lightRig w14:rig="threePt" w14:dir="t">
                <w14:rot w14:lat="0" w14:lon="0" w14:rev="0"/>
              </w14:lightRig>
            </w14:scene3d>
          </w:rPr>
          <w:t>2.4.6</w:t>
        </w:r>
        <w:r w:rsidR="00B75E1B">
          <w:rPr>
            <w:rFonts w:asciiTheme="minorHAnsi" w:eastAsiaTheme="minorEastAsia" w:hAnsiTheme="minorHAnsi" w:cstheme="minorBidi"/>
            <w:noProof/>
            <w:sz w:val="22"/>
            <w:szCs w:val="22"/>
            <w:lang w:eastAsia="en-GB"/>
          </w:rPr>
          <w:tab/>
        </w:r>
        <w:r w:rsidR="00B75E1B" w:rsidRPr="009B34D1">
          <w:rPr>
            <w:rStyle w:val="Hyperlink"/>
            <w:noProof/>
          </w:rPr>
          <w:t>Triage Category Indicator</w:t>
        </w:r>
        <w:r w:rsidR="00B75E1B">
          <w:rPr>
            <w:noProof/>
            <w:webHidden/>
          </w:rPr>
          <w:tab/>
        </w:r>
        <w:r w:rsidR="00B75E1B">
          <w:rPr>
            <w:noProof/>
            <w:webHidden/>
          </w:rPr>
          <w:fldChar w:fldCharType="begin"/>
        </w:r>
        <w:r w:rsidR="00B75E1B">
          <w:rPr>
            <w:noProof/>
            <w:webHidden/>
          </w:rPr>
          <w:instrText xml:space="preserve"> PAGEREF _Toc396989138 \h </w:instrText>
        </w:r>
        <w:r w:rsidR="00B75E1B">
          <w:rPr>
            <w:noProof/>
            <w:webHidden/>
          </w:rPr>
        </w:r>
        <w:r w:rsidR="00B75E1B">
          <w:rPr>
            <w:noProof/>
            <w:webHidden/>
          </w:rPr>
          <w:fldChar w:fldCharType="separate"/>
        </w:r>
        <w:r w:rsidR="00B75E1B">
          <w:rPr>
            <w:noProof/>
            <w:webHidden/>
          </w:rPr>
          <w:t>19</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39" w:history="1">
        <w:r w:rsidR="00B75E1B" w:rsidRPr="009B34D1">
          <w:rPr>
            <w:rStyle w:val="Hyperlink"/>
            <w:noProof/>
            <w14:scene3d>
              <w14:camera w14:prst="orthographicFront"/>
              <w14:lightRig w14:rig="threePt" w14:dir="t">
                <w14:rot w14:lat="0" w14:lon="0" w14:rev="0"/>
              </w14:lightRig>
            </w14:scene3d>
          </w:rPr>
          <w:t>2.4.7</w:t>
        </w:r>
        <w:r w:rsidR="00B75E1B">
          <w:rPr>
            <w:rFonts w:asciiTheme="minorHAnsi" w:eastAsiaTheme="minorEastAsia" w:hAnsiTheme="minorHAnsi" w:cstheme="minorBidi"/>
            <w:noProof/>
            <w:sz w:val="22"/>
            <w:szCs w:val="22"/>
            <w:lang w:eastAsia="en-GB"/>
          </w:rPr>
          <w:tab/>
        </w:r>
        <w:r w:rsidR="00B75E1B" w:rsidRPr="009B34D1">
          <w:rPr>
            <w:rStyle w:val="Hyperlink"/>
            <w:noProof/>
          </w:rPr>
          <w:t>Market Response Screen (adding additional Agreement Parties)</w:t>
        </w:r>
        <w:r w:rsidR="00B75E1B">
          <w:rPr>
            <w:noProof/>
            <w:webHidden/>
          </w:rPr>
          <w:tab/>
        </w:r>
        <w:r w:rsidR="00B75E1B">
          <w:rPr>
            <w:noProof/>
            <w:webHidden/>
          </w:rPr>
          <w:fldChar w:fldCharType="begin"/>
        </w:r>
        <w:r w:rsidR="00B75E1B">
          <w:rPr>
            <w:noProof/>
            <w:webHidden/>
          </w:rPr>
          <w:instrText xml:space="preserve"> PAGEREF _Toc396989139 \h </w:instrText>
        </w:r>
        <w:r w:rsidR="00B75E1B">
          <w:rPr>
            <w:noProof/>
            <w:webHidden/>
          </w:rPr>
        </w:r>
        <w:r w:rsidR="00B75E1B">
          <w:rPr>
            <w:noProof/>
            <w:webHidden/>
          </w:rPr>
          <w:fldChar w:fldCharType="separate"/>
        </w:r>
        <w:r w:rsidR="00B75E1B">
          <w:rPr>
            <w:noProof/>
            <w:webHidden/>
          </w:rPr>
          <w:t>20</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40" w:history="1">
        <w:r w:rsidR="00B75E1B" w:rsidRPr="009B34D1">
          <w:rPr>
            <w:rStyle w:val="Hyperlink"/>
            <w:noProof/>
          </w:rPr>
          <w:t>2.5</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Managing Agencies to Consider Claim</w:t>
        </w:r>
        <w:r w:rsidR="00B75E1B">
          <w:rPr>
            <w:noProof/>
            <w:webHidden/>
          </w:rPr>
          <w:tab/>
        </w:r>
        <w:r w:rsidR="00B75E1B">
          <w:rPr>
            <w:noProof/>
            <w:webHidden/>
          </w:rPr>
          <w:fldChar w:fldCharType="begin"/>
        </w:r>
        <w:r w:rsidR="00B75E1B">
          <w:rPr>
            <w:noProof/>
            <w:webHidden/>
          </w:rPr>
          <w:instrText xml:space="preserve"> PAGEREF _Toc396989140 \h </w:instrText>
        </w:r>
        <w:r w:rsidR="00B75E1B">
          <w:rPr>
            <w:noProof/>
            <w:webHidden/>
          </w:rPr>
        </w:r>
        <w:r w:rsidR="00B75E1B">
          <w:rPr>
            <w:noProof/>
            <w:webHidden/>
          </w:rPr>
          <w:fldChar w:fldCharType="separate"/>
        </w:r>
        <w:r w:rsidR="00B75E1B">
          <w:rPr>
            <w:noProof/>
            <w:webHidden/>
          </w:rPr>
          <w:t>21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41" w:history="1">
        <w:r w:rsidR="00B75E1B" w:rsidRPr="009B34D1">
          <w:rPr>
            <w:rStyle w:val="Hyperlink"/>
            <w:noProof/>
            <w14:scene3d>
              <w14:camera w14:prst="orthographicFront"/>
              <w14:lightRig w14:rig="threePt" w14:dir="t">
                <w14:rot w14:lat="0" w14:lon="0" w14:rev="0"/>
              </w14:lightRig>
            </w14:scene3d>
          </w:rPr>
          <w:t>2.5.1</w:t>
        </w:r>
        <w:r w:rsidR="00B75E1B">
          <w:rPr>
            <w:rFonts w:asciiTheme="minorHAnsi" w:eastAsiaTheme="minorEastAsia" w:hAnsiTheme="minorHAnsi" w:cstheme="minorBidi"/>
            <w:noProof/>
            <w:sz w:val="22"/>
            <w:szCs w:val="22"/>
            <w:lang w:eastAsia="en-GB"/>
          </w:rPr>
          <w:tab/>
        </w:r>
        <w:r w:rsidR="00B75E1B" w:rsidRPr="009B34D1">
          <w:rPr>
            <w:rStyle w:val="Hyperlink"/>
            <w:noProof/>
          </w:rPr>
          <w:t>ECF2 Components</w:t>
        </w:r>
        <w:r w:rsidR="00B75E1B">
          <w:rPr>
            <w:noProof/>
            <w:webHidden/>
          </w:rPr>
          <w:tab/>
        </w:r>
        <w:r w:rsidR="00B75E1B">
          <w:rPr>
            <w:noProof/>
            <w:webHidden/>
          </w:rPr>
          <w:fldChar w:fldCharType="begin"/>
        </w:r>
        <w:r w:rsidR="00B75E1B">
          <w:rPr>
            <w:noProof/>
            <w:webHidden/>
          </w:rPr>
          <w:instrText xml:space="preserve"> PAGEREF _Toc396989141 \h </w:instrText>
        </w:r>
        <w:r w:rsidR="00B75E1B">
          <w:rPr>
            <w:noProof/>
            <w:webHidden/>
          </w:rPr>
        </w:r>
        <w:r w:rsidR="00B75E1B">
          <w:rPr>
            <w:noProof/>
            <w:webHidden/>
          </w:rPr>
          <w:fldChar w:fldCharType="separate"/>
        </w:r>
        <w:r w:rsidR="00B75E1B">
          <w:rPr>
            <w:noProof/>
            <w:webHidden/>
          </w:rPr>
          <w:t>21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42" w:history="1">
        <w:r w:rsidR="00B75E1B" w:rsidRPr="009B34D1">
          <w:rPr>
            <w:rStyle w:val="Hyperlink"/>
            <w:noProof/>
            <w14:scene3d>
              <w14:camera w14:prst="orthographicFront"/>
              <w14:lightRig w14:rig="threePt" w14:dir="t">
                <w14:rot w14:lat="0" w14:lon="0" w14:rev="0"/>
              </w14:lightRig>
            </w14:scene3d>
          </w:rPr>
          <w:t>2.5.2</w:t>
        </w:r>
        <w:r w:rsidR="00B75E1B">
          <w:rPr>
            <w:rFonts w:asciiTheme="minorHAnsi" w:eastAsiaTheme="minorEastAsia" w:hAnsiTheme="minorHAnsi" w:cstheme="minorBidi"/>
            <w:noProof/>
            <w:sz w:val="22"/>
            <w:szCs w:val="22"/>
            <w:lang w:eastAsia="en-GB"/>
          </w:rPr>
          <w:tab/>
        </w:r>
        <w:r w:rsidR="00B75E1B" w:rsidRPr="009B34D1">
          <w:rPr>
            <w:rStyle w:val="Hyperlink"/>
            <w:noProof/>
          </w:rPr>
          <w:t>Classification of documents - Agreement Parties</w:t>
        </w:r>
        <w:r w:rsidR="00B75E1B">
          <w:rPr>
            <w:noProof/>
            <w:webHidden/>
          </w:rPr>
          <w:tab/>
        </w:r>
        <w:r w:rsidR="00B75E1B">
          <w:rPr>
            <w:noProof/>
            <w:webHidden/>
          </w:rPr>
          <w:fldChar w:fldCharType="begin"/>
        </w:r>
        <w:r w:rsidR="00B75E1B">
          <w:rPr>
            <w:noProof/>
            <w:webHidden/>
          </w:rPr>
          <w:instrText xml:space="preserve"> PAGEREF _Toc396989142 \h </w:instrText>
        </w:r>
        <w:r w:rsidR="00B75E1B">
          <w:rPr>
            <w:noProof/>
            <w:webHidden/>
          </w:rPr>
        </w:r>
        <w:r w:rsidR="00B75E1B">
          <w:rPr>
            <w:noProof/>
            <w:webHidden/>
          </w:rPr>
          <w:fldChar w:fldCharType="separate"/>
        </w:r>
        <w:r w:rsidR="00B75E1B">
          <w:rPr>
            <w:noProof/>
            <w:webHidden/>
          </w:rPr>
          <w:t>23</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43" w:history="1">
        <w:r w:rsidR="00B75E1B" w:rsidRPr="009B34D1">
          <w:rPr>
            <w:rStyle w:val="Hyperlink"/>
            <w:noProof/>
            <w14:scene3d>
              <w14:camera w14:prst="orthographicFront"/>
              <w14:lightRig w14:rig="threePt" w14:dir="t">
                <w14:rot w14:lat="0" w14:lon="0" w14:rev="0"/>
              </w14:lightRig>
            </w14:scene3d>
          </w:rPr>
          <w:t>2.5.3</w:t>
        </w:r>
        <w:r w:rsidR="00B75E1B">
          <w:rPr>
            <w:rFonts w:asciiTheme="minorHAnsi" w:eastAsiaTheme="minorEastAsia" w:hAnsiTheme="minorHAnsi" w:cstheme="minorBidi"/>
            <w:noProof/>
            <w:sz w:val="22"/>
            <w:szCs w:val="22"/>
            <w:lang w:eastAsia="en-GB"/>
          </w:rPr>
          <w:tab/>
        </w:r>
        <w:r w:rsidR="00B75E1B" w:rsidRPr="009B34D1">
          <w:rPr>
            <w:rStyle w:val="Hyperlink"/>
            <w:noProof/>
          </w:rPr>
          <w:t>Confidential Reports</w:t>
        </w:r>
        <w:r w:rsidR="00B75E1B">
          <w:rPr>
            <w:noProof/>
            <w:webHidden/>
          </w:rPr>
          <w:tab/>
        </w:r>
        <w:r w:rsidR="00B75E1B">
          <w:rPr>
            <w:noProof/>
            <w:webHidden/>
          </w:rPr>
          <w:fldChar w:fldCharType="begin"/>
        </w:r>
        <w:r w:rsidR="00B75E1B">
          <w:rPr>
            <w:noProof/>
            <w:webHidden/>
          </w:rPr>
          <w:instrText xml:space="preserve"> PAGEREF _Toc396989143 \h </w:instrText>
        </w:r>
        <w:r w:rsidR="00B75E1B">
          <w:rPr>
            <w:noProof/>
            <w:webHidden/>
          </w:rPr>
        </w:r>
        <w:r w:rsidR="00B75E1B">
          <w:rPr>
            <w:noProof/>
            <w:webHidden/>
          </w:rPr>
          <w:fldChar w:fldCharType="separate"/>
        </w:r>
        <w:r w:rsidR="00B75E1B">
          <w:rPr>
            <w:noProof/>
            <w:webHidden/>
          </w:rPr>
          <w:t>24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44" w:history="1">
        <w:r w:rsidR="00B75E1B" w:rsidRPr="009B34D1">
          <w:rPr>
            <w:rStyle w:val="Hyperlink"/>
            <w:noProof/>
            <w14:scene3d>
              <w14:camera w14:prst="orthographicFront"/>
              <w14:lightRig w14:rig="threePt" w14:dir="t">
                <w14:rot w14:lat="0" w14:lon="0" w14:rev="0"/>
              </w14:lightRig>
            </w14:scene3d>
          </w:rPr>
          <w:t>2.5.4</w:t>
        </w:r>
        <w:r w:rsidR="00B75E1B">
          <w:rPr>
            <w:rFonts w:asciiTheme="minorHAnsi" w:eastAsiaTheme="minorEastAsia" w:hAnsiTheme="minorHAnsi" w:cstheme="minorBidi"/>
            <w:noProof/>
            <w:sz w:val="22"/>
            <w:szCs w:val="22"/>
            <w:lang w:eastAsia="en-GB"/>
          </w:rPr>
          <w:tab/>
        </w:r>
        <w:r w:rsidR="00B75E1B" w:rsidRPr="009B34D1">
          <w:rPr>
            <w:rStyle w:val="Hyperlink"/>
            <w:noProof/>
          </w:rPr>
          <w:t>‘Warnings’ Section</w:t>
        </w:r>
        <w:r w:rsidR="00B75E1B">
          <w:rPr>
            <w:noProof/>
            <w:webHidden/>
          </w:rPr>
          <w:tab/>
        </w:r>
        <w:r w:rsidR="00B75E1B">
          <w:rPr>
            <w:noProof/>
            <w:webHidden/>
          </w:rPr>
          <w:fldChar w:fldCharType="begin"/>
        </w:r>
        <w:r w:rsidR="00B75E1B">
          <w:rPr>
            <w:noProof/>
            <w:webHidden/>
          </w:rPr>
          <w:instrText xml:space="preserve"> PAGEREF _Toc396989144 \h </w:instrText>
        </w:r>
        <w:r w:rsidR="00B75E1B">
          <w:rPr>
            <w:noProof/>
            <w:webHidden/>
          </w:rPr>
        </w:r>
        <w:r w:rsidR="00B75E1B">
          <w:rPr>
            <w:noProof/>
            <w:webHidden/>
          </w:rPr>
          <w:fldChar w:fldCharType="separate"/>
        </w:r>
        <w:r w:rsidR="00B75E1B">
          <w:rPr>
            <w:noProof/>
            <w:webHidden/>
          </w:rPr>
          <w:t>24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45" w:history="1">
        <w:r w:rsidR="00B75E1B" w:rsidRPr="009B34D1">
          <w:rPr>
            <w:rStyle w:val="Hyperlink"/>
            <w:noProof/>
            <w14:scene3d>
              <w14:camera w14:prst="orthographicFront"/>
              <w14:lightRig w14:rig="threePt" w14:dir="t">
                <w14:rot w14:lat="0" w14:lon="0" w14:rev="0"/>
              </w14:lightRig>
            </w14:scene3d>
          </w:rPr>
          <w:t>2.5.5</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Consult with other Parties</w:t>
        </w:r>
        <w:r w:rsidR="00B75E1B">
          <w:rPr>
            <w:noProof/>
            <w:webHidden/>
          </w:rPr>
          <w:tab/>
        </w:r>
        <w:r w:rsidR="00B75E1B">
          <w:rPr>
            <w:noProof/>
            <w:webHidden/>
          </w:rPr>
          <w:fldChar w:fldCharType="begin"/>
        </w:r>
        <w:r w:rsidR="00B75E1B">
          <w:rPr>
            <w:noProof/>
            <w:webHidden/>
          </w:rPr>
          <w:instrText xml:space="preserve"> PAGEREF _Toc396989145 \h </w:instrText>
        </w:r>
        <w:r w:rsidR="00B75E1B">
          <w:rPr>
            <w:noProof/>
            <w:webHidden/>
          </w:rPr>
        </w:r>
        <w:r w:rsidR="00B75E1B">
          <w:rPr>
            <w:noProof/>
            <w:webHidden/>
          </w:rPr>
          <w:fldChar w:fldCharType="separate"/>
        </w:r>
        <w:r w:rsidR="00B75E1B">
          <w:rPr>
            <w:noProof/>
            <w:webHidden/>
          </w:rPr>
          <w:t>24</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46" w:history="1">
        <w:r w:rsidR="00B75E1B" w:rsidRPr="009B34D1">
          <w:rPr>
            <w:rStyle w:val="Hyperlink"/>
            <w:noProof/>
          </w:rPr>
          <w:t>2.6</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Claims Process Involving a “Query/Return” Response</w:t>
        </w:r>
        <w:r w:rsidR="00B75E1B">
          <w:rPr>
            <w:noProof/>
            <w:webHidden/>
          </w:rPr>
          <w:tab/>
        </w:r>
        <w:r w:rsidR="00B75E1B">
          <w:rPr>
            <w:noProof/>
            <w:webHidden/>
          </w:rPr>
          <w:fldChar w:fldCharType="begin"/>
        </w:r>
        <w:r w:rsidR="00B75E1B">
          <w:rPr>
            <w:noProof/>
            <w:webHidden/>
          </w:rPr>
          <w:instrText xml:space="preserve"> PAGEREF _Toc396989146 \h </w:instrText>
        </w:r>
        <w:r w:rsidR="00B75E1B">
          <w:rPr>
            <w:noProof/>
            <w:webHidden/>
          </w:rPr>
        </w:r>
        <w:r w:rsidR="00B75E1B">
          <w:rPr>
            <w:noProof/>
            <w:webHidden/>
          </w:rPr>
          <w:fldChar w:fldCharType="separate"/>
        </w:r>
        <w:r w:rsidR="00B75E1B">
          <w:rPr>
            <w:noProof/>
            <w:webHidden/>
          </w:rPr>
          <w:t>24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47" w:history="1">
        <w:r w:rsidR="00B75E1B" w:rsidRPr="009B34D1">
          <w:rPr>
            <w:rStyle w:val="Hyperlink"/>
            <w:noProof/>
            <w:lang w:eastAsia="en-GB"/>
            <w14:scene3d>
              <w14:camera w14:prst="orthographicFront"/>
              <w14:lightRig w14:rig="threePt" w14:dir="t">
                <w14:rot w14:lat="0" w14:lon="0" w14:rev="0"/>
              </w14:lightRig>
            </w14:scene3d>
          </w:rPr>
          <w:t>2.6.1</w:t>
        </w:r>
        <w:r w:rsidR="00B75E1B">
          <w:rPr>
            <w:rFonts w:asciiTheme="minorHAnsi" w:eastAsiaTheme="minorEastAsia" w:hAnsiTheme="minorHAnsi" w:cstheme="minorBidi"/>
            <w:noProof/>
            <w:sz w:val="22"/>
            <w:szCs w:val="22"/>
            <w:lang w:eastAsia="en-GB"/>
          </w:rPr>
          <w:tab/>
        </w:r>
        <w:r w:rsidR="00B75E1B" w:rsidRPr="009B34D1">
          <w:rPr>
            <w:rStyle w:val="Hyperlink"/>
            <w:noProof/>
            <w:lang w:eastAsia="en-GB"/>
          </w:rPr>
          <w:t>Query Reason Indicator in ECF2:</w:t>
        </w:r>
        <w:r w:rsidR="00B75E1B">
          <w:rPr>
            <w:noProof/>
            <w:webHidden/>
          </w:rPr>
          <w:tab/>
        </w:r>
        <w:r w:rsidR="00B75E1B">
          <w:rPr>
            <w:noProof/>
            <w:webHidden/>
          </w:rPr>
          <w:fldChar w:fldCharType="begin"/>
        </w:r>
        <w:r w:rsidR="00B75E1B">
          <w:rPr>
            <w:noProof/>
            <w:webHidden/>
          </w:rPr>
          <w:instrText xml:space="preserve"> PAGEREF _Toc396989147 \h </w:instrText>
        </w:r>
        <w:r w:rsidR="00B75E1B">
          <w:rPr>
            <w:noProof/>
            <w:webHidden/>
          </w:rPr>
        </w:r>
        <w:r w:rsidR="00B75E1B">
          <w:rPr>
            <w:noProof/>
            <w:webHidden/>
          </w:rPr>
          <w:fldChar w:fldCharType="separate"/>
        </w:r>
        <w:r w:rsidR="00B75E1B">
          <w:rPr>
            <w:noProof/>
            <w:webHidden/>
          </w:rPr>
          <w:t>25</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48" w:history="1">
        <w:r w:rsidR="00B75E1B" w:rsidRPr="009B34D1">
          <w:rPr>
            <w:rStyle w:val="Hyperlink"/>
            <w:noProof/>
          </w:rPr>
          <w:t>2.7</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Reserving as a Lead Agreement</w:t>
        </w:r>
        <w:r w:rsidR="00B75E1B">
          <w:rPr>
            <w:noProof/>
            <w:webHidden/>
          </w:rPr>
          <w:tab/>
        </w:r>
        <w:r w:rsidR="00B75E1B">
          <w:rPr>
            <w:noProof/>
            <w:webHidden/>
          </w:rPr>
          <w:fldChar w:fldCharType="begin"/>
        </w:r>
        <w:r w:rsidR="00B75E1B">
          <w:rPr>
            <w:noProof/>
            <w:webHidden/>
          </w:rPr>
          <w:instrText xml:space="preserve"> PAGEREF _Toc396989148 \h </w:instrText>
        </w:r>
        <w:r w:rsidR="00B75E1B">
          <w:rPr>
            <w:noProof/>
            <w:webHidden/>
          </w:rPr>
        </w:r>
        <w:r w:rsidR="00B75E1B">
          <w:rPr>
            <w:noProof/>
            <w:webHidden/>
          </w:rPr>
          <w:fldChar w:fldCharType="separate"/>
        </w:r>
        <w:r w:rsidR="00B75E1B">
          <w:rPr>
            <w:noProof/>
            <w:webHidden/>
          </w:rPr>
          <w:t>26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49" w:history="1">
        <w:r w:rsidR="00B75E1B" w:rsidRPr="009B34D1">
          <w:rPr>
            <w:rStyle w:val="Hyperlink"/>
            <w:noProof/>
            <w14:scene3d>
              <w14:camera w14:prst="orthographicFront"/>
              <w14:lightRig w14:rig="threePt" w14:dir="t">
                <w14:rot w14:lat="0" w14:lon="0" w14:rev="0"/>
              </w14:lightRig>
            </w14:scene3d>
          </w:rPr>
          <w:t>2.7.1</w:t>
        </w:r>
        <w:r w:rsidR="00B75E1B">
          <w:rPr>
            <w:rFonts w:asciiTheme="minorHAnsi" w:eastAsiaTheme="minorEastAsia" w:hAnsiTheme="minorHAnsi" w:cstheme="minorBidi"/>
            <w:noProof/>
            <w:sz w:val="22"/>
            <w:szCs w:val="22"/>
            <w:lang w:eastAsia="en-GB"/>
          </w:rPr>
          <w:tab/>
        </w:r>
        <w:r w:rsidR="00B75E1B" w:rsidRPr="009B34D1">
          <w:rPr>
            <w:rStyle w:val="Hyperlink"/>
            <w:noProof/>
          </w:rPr>
          <w:t>Record Response and Comments on the ECF Transaction</w:t>
        </w:r>
        <w:r w:rsidR="00B75E1B">
          <w:rPr>
            <w:noProof/>
            <w:webHidden/>
          </w:rPr>
          <w:tab/>
        </w:r>
        <w:r w:rsidR="00B75E1B">
          <w:rPr>
            <w:noProof/>
            <w:webHidden/>
          </w:rPr>
          <w:fldChar w:fldCharType="begin"/>
        </w:r>
        <w:r w:rsidR="00B75E1B">
          <w:rPr>
            <w:noProof/>
            <w:webHidden/>
          </w:rPr>
          <w:instrText xml:space="preserve"> PAGEREF _Toc396989149 \h </w:instrText>
        </w:r>
        <w:r w:rsidR="00B75E1B">
          <w:rPr>
            <w:noProof/>
            <w:webHidden/>
          </w:rPr>
        </w:r>
        <w:r w:rsidR="00B75E1B">
          <w:rPr>
            <w:noProof/>
            <w:webHidden/>
          </w:rPr>
          <w:fldChar w:fldCharType="separate"/>
        </w:r>
        <w:r w:rsidR="00B75E1B">
          <w:rPr>
            <w:noProof/>
            <w:webHidden/>
          </w:rPr>
          <w:t>28</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50" w:history="1">
        <w:r w:rsidR="00B75E1B" w:rsidRPr="009B34D1">
          <w:rPr>
            <w:rStyle w:val="Hyperlink"/>
            <w:noProof/>
            <w14:scene3d>
              <w14:camera w14:prst="orthographicFront"/>
              <w14:lightRig w14:rig="threePt" w14:dir="t">
                <w14:rot w14:lat="0" w14:lon="0" w14:rev="0"/>
              </w14:lightRig>
            </w14:scene3d>
          </w:rPr>
          <w:t>2.7.2</w:t>
        </w:r>
        <w:r w:rsidR="00B75E1B">
          <w:rPr>
            <w:rFonts w:asciiTheme="minorHAnsi" w:eastAsiaTheme="minorEastAsia" w:hAnsiTheme="minorHAnsi" w:cstheme="minorBidi"/>
            <w:noProof/>
            <w:sz w:val="22"/>
            <w:szCs w:val="22"/>
            <w:lang w:eastAsia="en-GB"/>
          </w:rPr>
          <w:tab/>
        </w:r>
        <w:r w:rsidR="00B75E1B" w:rsidRPr="009B34D1">
          <w:rPr>
            <w:rStyle w:val="Hyperlink"/>
            <w:noProof/>
          </w:rPr>
          <w:t>‘Comments’ Section</w:t>
        </w:r>
        <w:r w:rsidR="00B75E1B">
          <w:rPr>
            <w:noProof/>
            <w:webHidden/>
          </w:rPr>
          <w:tab/>
        </w:r>
        <w:r w:rsidR="00B75E1B">
          <w:rPr>
            <w:noProof/>
            <w:webHidden/>
          </w:rPr>
          <w:fldChar w:fldCharType="begin"/>
        </w:r>
        <w:r w:rsidR="00B75E1B">
          <w:rPr>
            <w:noProof/>
            <w:webHidden/>
          </w:rPr>
          <w:instrText xml:space="preserve"> PAGEREF _Toc396989150 \h </w:instrText>
        </w:r>
        <w:r w:rsidR="00B75E1B">
          <w:rPr>
            <w:noProof/>
            <w:webHidden/>
          </w:rPr>
        </w:r>
        <w:r w:rsidR="00B75E1B">
          <w:rPr>
            <w:noProof/>
            <w:webHidden/>
          </w:rPr>
          <w:fldChar w:fldCharType="separate"/>
        </w:r>
        <w:r w:rsidR="00B75E1B">
          <w:rPr>
            <w:noProof/>
            <w:webHidden/>
          </w:rPr>
          <w:t>28</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51" w:history="1">
        <w:r w:rsidR="00B75E1B" w:rsidRPr="009B34D1">
          <w:rPr>
            <w:rStyle w:val="Hyperlink"/>
            <w:noProof/>
            <w14:scene3d>
              <w14:camera w14:prst="orthographicFront"/>
              <w14:lightRig w14:rig="threePt" w14:dir="t">
                <w14:rot w14:lat="0" w14:lon="0" w14:rev="0"/>
              </w14:lightRig>
            </w14:scene3d>
          </w:rPr>
          <w:t>2.7.3</w:t>
        </w:r>
        <w:r w:rsidR="00B75E1B">
          <w:rPr>
            <w:rFonts w:asciiTheme="minorHAnsi" w:eastAsiaTheme="minorEastAsia" w:hAnsiTheme="minorHAnsi" w:cstheme="minorBidi"/>
            <w:noProof/>
            <w:sz w:val="22"/>
            <w:szCs w:val="22"/>
            <w:lang w:eastAsia="en-GB"/>
          </w:rPr>
          <w:tab/>
        </w:r>
        <w:r w:rsidR="00B75E1B" w:rsidRPr="009B34D1">
          <w:rPr>
            <w:rStyle w:val="Hyperlink"/>
            <w:noProof/>
          </w:rPr>
          <w:t>Actions &amp; Submissions in ECF</w:t>
        </w:r>
        <w:r w:rsidR="00B75E1B">
          <w:rPr>
            <w:noProof/>
            <w:webHidden/>
          </w:rPr>
          <w:tab/>
        </w:r>
        <w:r w:rsidR="00B75E1B">
          <w:rPr>
            <w:noProof/>
            <w:webHidden/>
          </w:rPr>
          <w:fldChar w:fldCharType="begin"/>
        </w:r>
        <w:r w:rsidR="00B75E1B">
          <w:rPr>
            <w:noProof/>
            <w:webHidden/>
          </w:rPr>
          <w:instrText xml:space="preserve"> PAGEREF _Toc396989151 \h </w:instrText>
        </w:r>
        <w:r w:rsidR="00B75E1B">
          <w:rPr>
            <w:noProof/>
            <w:webHidden/>
          </w:rPr>
        </w:r>
        <w:r w:rsidR="00B75E1B">
          <w:rPr>
            <w:noProof/>
            <w:webHidden/>
          </w:rPr>
          <w:fldChar w:fldCharType="separate"/>
        </w:r>
        <w:r w:rsidR="00B75E1B">
          <w:rPr>
            <w:noProof/>
            <w:webHidden/>
          </w:rPr>
          <w:t>29</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52" w:history="1">
        <w:r w:rsidR="00B75E1B" w:rsidRPr="009B34D1">
          <w:rPr>
            <w:rStyle w:val="Hyperlink"/>
            <w:noProof/>
            <w14:scene3d>
              <w14:camera w14:prst="orthographicFront"/>
              <w14:lightRig w14:rig="threePt" w14:dir="t">
                <w14:rot w14:lat="0" w14:lon="0" w14:rev="0"/>
              </w14:lightRig>
            </w14:scene3d>
          </w:rPr>
          <w:t>2.7.4</w:t>
        </w:r>
        <w:r w:rsidR="00B75E1B">
          <w:rPr>
            <w:rFonts w:asciiTheme="minorHAnsi" w:eastAsiaTheme="minorEastAsia" w:hAnsiTheme="minorHAnsi" w:cstheme="minorBidi"/>
            <w:noProof/>
            <w:sz w:val="22"/>
            <w:szCs w:val="22"/>
            <w:lang w:eastAsia="en-GB"/>
          </w:rPr>
          <w:tab/>
        </w:r>
        <w:r w:rsidR="00B75E1B" w:rsidRPr="009B34D1">
          <w:rPr>
            <w:rStyle w:val="Hyperlink"/>
            <w:noProof/>
          </w:rPr>
          <w:t>Response Codes &amp; Description</w:t>
        </w:r>
        <w:r w:rsidR="00B75E1B">
          <w:rPr>
            <w:noProof/>
            <w:webHidden/>
          </w:rPr>
          <w:tab/>
        </w:r>
        <w:r w:rsidR="00B75E1B">
          <w:rPr>
            <w:noProof/>
            <w:webHidden/>
          </w:rPr>
          <w:fldChar w:fldCharType="begin"/>
        </w:r>
        <w:r w:rsidR="00B75E1B">
          <w:rPr>
            <w:noProof/>
            <w:webHidden/>
          </w:rPr>
          <w:instrText xml:space="preserve"> PAGEREF _Toc396989152 \h </w:instrText>
        </w:r>
        <w:r w:rsidR="00B75E1B">
          <w:rPr>
            <w:noProof/>
            <w:webHidden/>
          </w:rPr>
        </w:r>
        <w:r w:rsidR="00B75E1B">
          <w:rPr>
            <w:noProof/>
            <w:webHidden/>
          </w:rPr>
          <w:fldChar w:fldCharType="separate"/>
        </w:r>
        <w:r w:rsidR="00B75E1B">
          <w:rPr>
            <w:noProof/>
            <w:webHidden/>
          </w:rPr>
          <w:t>30</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53" w:history="1">
        <w:r w:rsidR="00B75E1B" w:rsidRPr="009B34D1">
          <w:rPr>
            <w:rStyle w:val="Hyperlink"/>
            <w:noProof/>
          </w:rPr>
          <w:t>2.8</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Delegation of claim / role</w:t>
        </w:r>
        <w:r w:rsidR="00B75E1B">
          <w:rPr>
            <w:noProof/>
            <w:webHidden/>
          </w:rPr>
          <w:tab/>
        </w:r>
        <w:r w:rsidR="00B75E1B">
          <w:rPr>
            <w:noProof/>
            <w:webHidden/>
          </w:rPr>
          <w:fldChar w:fldCharType="begin"/>
        </w:r>
        <w:r w:rsidR="00B75E1B">
          <w:rPr>
            <w:noProof/>
            <w:webHidden/>
          </w:rPr>
          <w:instrText xml:space="preserve"> PAGEREF _Toc396989153 \h </w:instrText>
        </w:r>
        <w:r w:rsidR="00B75E1B">
          <w:rPr>
            <w:noProof/>
            <w:webHidden/>
          </w:rPr>
        </w:r>
        <w:r w:rsidR="00B75E1B">
          <w:rPr>
            <w:noProof/>
            <w:webHidden/>
          </w:rPr>
          <w:fldChar w:fldCharType="separate"/>
        </w:r>
        <w:r w:rsidR="00B75E1B">
          <w:rPr>
            <w:noProof/>
            <w:webHidden/>
          </w:rPr>
          <w:t>31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54" w:history="1">
        <w:r w:rsidR="00B75E1B" w:rsidRPr="009B34D1">
          <w:rPr>
            <w:rStyle w:val="Hyperlink"/>
            <w:noProof/>
            <w14:scene3d>
              <w14:camera w14:prst="orthographicFront"/>
              <w14:lightRig w14:rig="threePt" w14:dir="t">
                <w14:rot w14:lat="0" w14:lon="0" w14:rev="0"/>
              </w14:lightRig>
            </w14:scene3d>
          </w:rPr>
          <w:t>2.8.1</w:t>
        </w:r>
        <w:r w:rsidR="00B75E1B">
          <w:rPr>
            <w:rFonts w:asciiTheme="minorHAnsi" w:eastAsiaTheme="minorEastAsia" w:hAnsiTheme="minorHAnsi" w:cstheme="minorBidi"/>
            <w:noProof/>
            <w:sz w:val="22"/>
            <w:szCs w:val="22"/>
            <w:lang w:eastAsia="en-GB"/>
          </w:rPr>
          <w:tab/>
        </w:r>
        <w:r w:rsidR="00B75E1B" w:rsidRPr="009B34D1">
          <w:rPr>
            <w:rStyle w:val="Hyperlink"/>
            <w:noProof/>
          </w:rPr>
          <w:t>Delegation of claims to a 3rd party</w:t>
        </w:r>
        <w:r w:rsidR="00B75E1B">
          <w:rPr>
            <w:noProof/>
            <w:webHidden/>
          </w:rPr>
          <w:tab/>
        </w:r>
        <w:r w:rsidR="00B75E1B">
          <w:rPr>
            <w:noProof/>
            <w:webHidden/>
          </w:rPr>
          <w:fldChar w:fldCharType="begin"/>
        </w:r>
        <w:r w:rsidR="00B75E1B">
          <w:rPr>
            <w:noProof/>
            <w:webHidden/>
          </w:rPr>
          <w:instrText xml:space="preserve"> PAGEREF _Toc396989154 \h </w:instrText>
        </w:r>
        <w:r w:rsidR="00B75E1B">
          <w:rPr>
            <w:noProof/>
            <w:webHidden/>
          </w:rPr>
        </w:r>
        <w:r w:rsidR="00B75E1B">
          <w:rPr>
            <w:noProof/>
            <w:webHidden/>
          </w:rPr>
          <w:fldChar w:fldCharType="separate"/>
        </w:r>
        <w:r w:rsidR="00B75E1B">
          <w:rPr>
            <w:noProof/>
            <w:webHidden/>
          </w:rPr>
          <w:t>31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55" w:history="1">
        <w:r w:rsidR="00B75E1B" w:rsidRPr="009B34D1">
          <w:rPr>
            <w:rStyle w:val="Hyperlink"/>
            <w:noProof/>
            <w14:scene3d>
              <w14:camera w14:prst="orthographicFront"/>
              <w14:lightRig w14:rig="threePt" w14:dir="t">
                <w14:rot w14:lat="0" w14:lon="0" w14:rev="0"/>
              </w14:lightRig>
            </w14:scene3d>
          </w:rPr>
          <w:t>2.8.2</w:t>
        </w:r>
        <w:r w:rsidR="00B75E1B">
          <w:rPr>
            <w:rFonts w:asciiTheme="minorHAnsi" w:eastAsiaTheme="minorEastAsia" w:hAnsiTheme="minorHAnsi" w:cstheme="minorBidi"/>
            <w:noProof/>
            <w:sz w:val="22"/>
            <w:szCs w:val="22"/>
            <w:lang w:eastAsia="en-GB"/>
          </w:rPr>
          <w:tab/>
        </w:r>
        <w:r w:rsidR="00B75E1B" w:rsidRPr="009B34D1">
          <w:rPr>
            <w:rStyle w:val="Hyperlink"/>
            <w:noProof/>
          </w:rPr>
          <w:t>Volume Claim Service</w:t>
        </w:r>
        <w:r w:rsidR="00B75E1B">
          <w:rPr>
            <w:noProof/>
            <w:webHidden/>
          </w:rPr>
          <w:tab/>
        </w:r>
        <w:r w:rsidR="00B75E1B">
          <w:rPr>
            <w:noProof/>
            <w:webHidden/>
          </w:rPr>
          <w:fldChar w:fldCharType="begin"/>
        </w:r>
        <w:r w:rsidR="00B75E1B">
          <w:rPr>
            <w:noProof/>
            <w:webHidden/>
          </w:rPr>
          <w:instrText xml:space="preserve"> PAGEREF _Toc396989155 \h </w:instrText>
        </w:r>
        <w:r w:rsidR="00B75E1B">
          <w:rPr>
            <w:noProof/>
            <w:webHidden/>
          </w:rPr>
        </w:r>
        <w:r w:rsidR="00B75E1B">
          <w:rPr>
            <w:noProof/>
            <w:webHidden/>
          </w:rPr>
          <w:fldChar w:fldCharType="separate"/>
        </w:r>
        <w:r w:rsidR="00B75E1B">
          <w:rPr>
            <w:noProof/>
            <w:webHidden/>
          </w:rPr>
          <w:t>31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56" w:history="1">
        <w:r w:rsidR="00B75E1B" w:rsidRPr="009B34D1">
          <w:rPr>
            <w:rStyle w:val="Hyperlink"/>
            <w:noProof/>
            <w14:scene3d>
              <w14:camera w14:prst="orthographicFront"/>
              <w14:lightRig w14:rig="threePt" w14:dir="t">
                <w14:rot w14:lat="0" w14:lon="0" w14:rev="0"/>
              </w14:lightRig>
            </w14:scene3d>
          </w:rPr>
          <w:t>2.8.3</w:t>
        </w:r>
        <w:r w:rsidR="00B75E1B">
          <w:rPr>
            <w:rFonts w:asciiTheme="minorHAnsi" w:eastAsiaTheme="minorEastAsia" w:hAnsiTheme="minorHAnsi" w:cstheme="minorBidi"/>
            <w:noProof/>
            <w:sz w:val="22"/>
            <w:szCs w:val="22"/>
            <w:lang w:eastAsia="en-GB"/>
          </w:rPr>
          <w:tab/>
        </w:r>
        <w:r w:rsidR="00B75E1B" w:rsidRPr="009B34D1">
          <w:rPr>
            <w:rStyle w:val="Hyperlink"/>
            <w:noProof/>
          </w:rPr>
          <w:t>Partial Delegation of Claims to XCS</w:t>
        </w:r>
        <w:r w:rsidR="00B75E1B">
          <w:rPr>
            <w:noProof/>
            <w:webHidden/>
          </w:rPr>
          <w:tab/>
        </w:r>
        <w:r w:rsidR="00B75E1B">
          <w:rPr>
            <w:noProof/>
            <w:webHidden/>
          </w:rPr>
          <w:fldChar w:fldCharType="begin"/>
        </w:r>
        <w:r w:rsidR="00B75E1B">
          <w:rPr>
            <w:noProof/>
            <w:webHidden/>
          </w:rPr>
          <w:instrText xml:space="preserve"> PAGEREF _Toc396989156 \h </w:instrText>
        </w:r>
        <w:r w:rsidR="00B75E1B">
          <w:rPr>
            <w:noProof/>
            <w:webHidden/>
          </w:rPr>
        </w:r>
        <w:r w:rsidR="00B75E1B">
          <w:rPr>
            <w:noProof/>
            <w:webHidden/>
          </w:rPr>
          <w:fldChar w:fldCharType="separate"/>
        </w:r>
        <w:r w:rsidR="00B75E1B">
          <w:rPr>
            <w:noProof/>
            <w:webHidden/>
          </w:rPr>
          <w:t>31</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157" w:history="1">
        <w:r w:rsidR="00B75E1B" w:rsidRPr="009B34D1">
          <w:rPr>
            <w:rStyle w:val="Hyperlink"/>
            <w:noProof/>
          </w:rPr>
          <w:t>2.9</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Disagreement Between XCS and Lead Agreement Party</w:t>
        </w:r>
        <w:r w:rsidR="00B75E1B">
          <w:rPr>
            <w:noProof/>
            <w:webHidden/>
          </w:rPr>
          <w:tab/>
        </w:r>
        <w:r w:rsidR="00B75E1B">
          <w:rPr>
            <w:noProof/>
            <w:webHidden/>
          </w:rPr>
          <w:fldChar w:fldCharType="begin"/>
        </w:r>
        <w:r w:rsidR="00B75E1B">
          <w:rPr>
            <w:noProof/>
            <w:webHidden/>
          </w:rPr>
          <w:instrText xml:space="preserve"> PAGEREF _Toc396989157 \h </w:instrText>
        </w:r>
        <w:r w:rsidR="00B75E1B">
          <w:rPr>
            <w:noProof/>
            <w:webHidden/>
          </w:rPr>
        </w:r>
        <w:r w:rsidR="00B75E1B">
          <w:rPr>
            <w:noProof/>
            <w:webHidden/>
          </w:rPr>
          <w:fldChar w:fldCharType="separate"/>
        </w:r>
        <w:r w:rsidR="00B75E1B">
          <w:rPr>
            <w:noProof/>
            <w:webHidden/>
          </w:rPr>
          <w:t>32</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58" w:history="1">
        <w:r w:rsidR="00B75E1B" w:rsidRPr="009B34D1">
          <w:rPr>
            <w:rStyle w:val="Hyperlink"/>
            <w:noProof/>
          </w:rPr>
          <w:t>2.10</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Overrides and Exceptions</w:t>
        </w:r>
        <w:r w:rsidR="00B75E1B">
          <w:rPr>
            <w:noProof/>
            <w:webHidden/>
          </w:rPr>
          <w:tab/>
        </w:r>
        <w:r w:rsidR="00B75E1B">
          <w:rPr>
            <w:noProof/>
            <w:webHidden/>
          </w:rPr>
          <w:fldChar w:fldCharType="begin"/>
        </w:r>
        <w:r w:rsidR="00B75E1B">
          <w:rPr>
            <w:noProof/>
            <w:webHidden/>
          </w:rPr>
          <w:instrText xml:space="preserve"> PAGEREF _Toc396989158 \h </w:instrText>
        </w:r>
        <w:r w:rsidR="00B75E1B">
          <w:rPr>
            <w:noProof/>
            <w:webHidden/>
          </w:rPr>
        </w:r>
        <w:r w:rsidR="00B75E1B">
          <w:rPr>
            <w:noProof/>
            <w:webHidden/>
          </w:rPr>
          <w:fldChar w:fldCharType="separate"/>
        </w:r>
        <w:r w:rsidR="00B75E1B">
          <w:rPr>
            <w:noProof/>
            <w:webHidden/>
          </w:rPr>
          <w:t>34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59" w:history="1">
        <w:r w:rsidR="00B75E1B" w:rsidRPr="009B34D1">
          <w:rPr>
            <w:rStyle w:val="Hyperlink"/>
            <w:noProof/>
            <w14:scene3d>
              <w14:camera w14:prst="orthographicFront"/>
              <w14:lightRig w14:rig="threePt" w14:dir="t">
                <w14:rot w14:lat="0" w14:lon="0" w14:rev="0"/>
              </w14:lightRig>
            </w14:scene3d>
          </w:rPr>
          <w:t>2.10.1</w:t>
        </w:r>
        <w:r w:rsidR="00B75E1B">
          <w:rPr>
            <w:rFonts w:asciiTheme="minorHAnsi" w:eastAsiaTheme="minorEastAsia" w:hAnsiTheme="minorHAnsi" w:cstheme="minorBidi"/>
            <w:noProof/>
            <w:sz w:val="22"/>
            <w:szCs w:val="22"/>
            <w:lang w:eastAsia="en-GB"/>
          </w:rPr>
          <w:tab/>
        </w:r>
        <w:r w:rsidR="00B75E1B" w:rsidRPr="009B34D1">
          <w:rPr>
            <w:rStyle w:val="Hyperlink"/>
            <w:noProof/>
          </w:rPr>
          <w:t>Conflict of Interests</w:t>
        </w:r>
        <w:r w:rsidR="00B75E1B">
          <w:rPr>
            <w:noProof/>
            <w:webHidden/>
          </w:rPr>
          <w:tab/>
        </w:r>
        <w:r w:rsidR="00B75E1B">
          <w:rPr>
            <w:noProof/>
            <w:webHidden/>
          </w:rPr>
          <w:fldChar w:fldCharType="begin"/>
        </w:r>
        <w:r w:rsidR="00B75E1B">
          <w:rPr>
            <w:noProof/>
            <w:webHidden/>
          </w:rPr>
          <w:instrText xml:space="preserve"> PAGEREF _Toc396989159 \h </w:instrText>
        </w:r>
        <w:r w:rsidR="00B75E1B">
          <w:rPr>
            <w:noProof/>
            <w:webHidden/>
          </w:rPr>
        </w:r>
        <w:r w:rsidR="00B75E1B">
          <w:rPr>
            <w:noProof/>
            <w:webHidden/>
          </w:rPr>
          <w:fldChar w:fldCharType="separate"/>
        </w:r>
        <w:r w:rsidR="00B75E1B">
          <w:rPr>
            <w:noProof/>
            <w:webHidden/>
          </w:rPr>
          <w:t>34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60" w:history="1">
        <w:r w:rsidR="00B75E1B" w:rsidRPr="009B34D1">
          <w:rPr>
            <w:rStyle w:val="Hyperlink"/>
            <w:noProof/>
            <w14:scene3d>
              <w14:camera w14:prst="orthographicFront"/>
              <w14:lightRig w14:rig="threePt" w14:dir="t">
                <w14:rot w14:lat="0" w14:lon="0" w14:rev="0"/>
              </w14:lightRig>
            </w14:scene3d>
          </w:rPr>
          <w:t>2.10.2</w:t>
        </w:r>
        <w:r w:rsidR="00B75E1B">
          <w:rPr>
            <w:rFonts w:asciiTheme="minorHAnsi" w:eastAsiaTheme="minorEastAsia" w:hAnsiTheme="minorHAnsi" w:cstheme="minorBidi"/>
            <w:noProof/>
            <w:sz w:val="22"/>
            <w:szCs w:val="22"/>
            <w:lang w:eastAsia="en-GB"/>
          </w:rPr>
          <w:tab/>
        </w:r>
        <w:r w:rsidR="00B75E1B" w:rsidRPr="009B34D1">
          <w:rPr>
            <w:rStyle w:val="Hyperlink"/>
            <w:noProof/>
          </w:rPr>
          <w:t>Original Signing Number and Date</w:t>
        </w:r>
        <w:r w:rsidR="00B75E1B">
          <w:rPr>
            <w:noProof/>
            <w:webHidden/>
          </w:rPr>
          <w:tab/>
        </w:r>
        <w:r w:rsidR="00B75E1B">
          <w:rPr>
            <w:noProof/>
            <w:webHidden/>
          </w:rPr>
          <w:fldChar w:fldCharType="begin"/>
        </w:r>
        <w:r w:rsidR="00B75E1B">
          <w:rPr>
            <w:noProof/>
            <w:webHidden/>
          </w:rPr>
          <w:instrText xml:space="preserve"> PAGEREF _Toc396989160 \h </w:instrText>
        </w:r>
        <w:r w:rsidR="00B75E1B">
          <w:rPr>
            <w:noProof/>
            <w:webHidden/>
          </w:rPr>
        </w:r>
        <w:r w:rsidR="00B75E1B">
          <w:rPr>
            <w:noProof/>
            <w:webHidden/>
          </w:rPr>
          <w:fldChar w:fldCharType="separate"/>
        </w:r>
        <w:r w:rsidR="00B75E1B">
          <w:rPr>
            <w:noProof/>
            <w:webHidden/>
          </w:rPr>
          <w:t>36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61" w:history="1">
        <w:r w:rsidR="00B75E1B" w:rsidRPr="009B34D1">
          <w:rPr>
            <w:rStyle w:val="Hyperlink"/>
            <w:noProof/>
            <w14:scene3d>
              <w14:camera w14:prst="orthographicFront"/>
              <w14:lightRig w14:rig="threePt" w14:dir="t">
                <w14:rot w14:lat="0" w14:lon="0" w14:rev="0"/>
              </w14:lightRig>
            </w14:scene3d>
          </w:rPr>
          <w:t>2.10.3</w:t>
        </w:r>
        <w:r w:rsidR="00B75E1B">
          <w:rPr>
            <w:rFonts w:asciiTheme="minorHAnsi" w:eastAsiaTheme="minorEastAsia" w:hAnsiTheme="minorHAnsi" w:cstheme="minorBidi"/>
            <w:noProof/>
            <w:sz w:val="22"/>
            <w:szCs w:val="22"/>
            <w:lang w:eastAsia="en-GB"/>
          </w:rPr>
          <w:tab/>
        </w:r>
        <w:r w:rsidR="00B75E1B" w:rsidRPr="009B34D1">
          <w:rPr>
            <w:rStyle w:val="Hyperlink"/>
            <w:noProof/>
          </w:rPr>
          <w:t>Premium Signing Information</w:t>
        </w:r>
        <w:r w:rsidR="00B75E1B">
          <w:rPr>
            <w:noProof/>
            <w:webHidden/>
          </w:rPr>
          <w:tab/>
        </w:r>
        <w:r w:rsidR="00B75E1B">
          <w:rPr>
            <w:noProof/>
            <w:webHidden/>
          </w:rPr>
          <w:fldChar w:fldCharType="begin"/>
        </w:r>
        <w:r w:rsidR="00B75E1B">
          <w:rPr>
            <w:noProof/>
            <w:webHidden/>
          </w:rPr>
          <w:instrText xml:space="preserve"> PAGEREF _Toc396989161 \h </w:instrText>
        </w:r>
        <w:r w:rsidR="00B75E1B">
          <w:rPr>
            <w:noProof/>
            <w:webHidden/>
          </w:rPr>
        </w:r>
        <w:r w:rsidR="00B75E1B">
          <w:rPr>
            <w:noProof/>
            <w:webHidden/>
          </w:rPr>
          <w:fldChar w:fldCharType="separate"/>
        </w:r>
        <w:r w:rsidR="00B75E1B">
          <w:rPr>
            <w:noProof/>
            <w:webHidden/>
          </w:rPr>
          <w:t>36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62" w:history="1">
        <w:r w:rsidR="00B75E1B" w:rsidRPr="009B34D1">
          <w:rPr>
            <w:rStyle w:val="Hyperlink"/>
            <w:noProof/>
            <w14:scene3d>
              <w14:camera w14:prst="orthographicFront"/>
              <w14:lightRig w14:rig="threePt" w14:dir="t">
                <w14:rot w14:lat="0" w14:lon="0" w14:rev="0"/>
              </w14:lightRig>
            </w14:scene3d>
          </w:rPr>
          <w:t>2.10.4</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Exceptions</w:t>
        </w:r>
        <w:r w:rsidR="00B75E1B">
          <w:rPr>
            <w:noProof/>
            <w:webHidden/>
          </w:rPr>
          <w:tab/>
        </w:r>
        <w:r w:rsidR="00B75E1B">
          <w:rPr>
            <w:noProof/>
            <w:webHidden/>
          </w:rPr>
          <w:fldChar w:fldCharType="begin"/>
        </w:r>
        <w:r w:rsidR="00B75E1B">
          <w:rPr>
            <w:noProof/>
            <w:webHidden/>
          </w:rPr>
          <w:instrText xml:space="preserve"> PAGEREF _Toc396989162 \h </w:instrText>
        </w:r>
        <w:r w:rsidR="00B75E1B">
          <w:rPr>
            <w:noProof/>
            <w:webHidden/>
          </w:rPr>
        </w:r>
        <w:r w:rsidR="00B75E1B">
          <w:rPr>
            <w:noProof/>
            <w:webHidden/>
          </w:rPr>
          <w:fldChar w:fldCharType="separate"/>
        </w:r>
        <w:r w:rsidR="00B75E1B">
          <w:rPr>
            <w:noProof/>
            <w:webHidden/>
          </w:rPr>
          <w:t>37</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63" w:history="1">
        <w:r w:rsidR="00B75E1B" w:rsidRPr="009B34D1">
          <w:rPr>
            <w:rStyle w:val="Hyperlink"/>
            <w:noProof/>
          </w:rPr>
          <w:t>2.11</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Create Syndicate Records, Process Settlements and Create Advice to Market</w:t>
        </w:r>
        <w:r w:rsidR="00B75E1B">
          <w:rPr>
            <w:noProof/>
            <w:webHidden/>
          </w:rPr>
          <w:tab/>
        </w:r>
        <w:r w:rsidR="00B75E1B">
          <w:rPr>
            <w:noProof/>
            <w:webHidden/>
          </w:rPr>
          <w:fldChar w:fldCharType="begin"/>
        </w:r>
        <w:r w:rsidR="00B75E1B">
          <w:rPr>
            <w:noProof/>
            <w:webHidden/>
          </w:rPr>
          <w:instrText xml:space="preserve"> PAGEREF _Toc396989163 \h </w:instrText>
        </w:r>
        <w:r w:rsidR="00B75E1B">
          <w:rPr>
            <w:noProof/>
            <w:webHidden/>
          </w:rPr>
        </w:r>
        <w:r w:rsidR="00B75E1B">
          <w:rPr>
            <w:noProof/>
            <w:webHidden/>
          </w:rPr>
          <w:fldChar w:fldCharType="separate"/>
        </w:r>
        <w:r w:rsidR="00B75E1B">
          <w:rPr>
            <w:noProof/>
            <w:webHidden/>
          </w:rPr>
          <w:t>37</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64" w:history="1">
        <w:r w:rsidR="00B75E1B" w:rsidRPr="009B34D1">
          <w:rPr>
            <w:rStyle w:val="Hyperlink"/>
            <w:noProof/>
            <w14:scene3d>
              <w14:camera w14:prst="orthographicFront"/>
              <w14:lightRig w14:rig="threePt" w14:dir="t">
                <w14:rot w14:lat="0" w14:lon="0" w14:rev="0"/>
              </w14:lightRig>
            </w14:scene3d>
          </w:rPr>
          <w:t>2.11.1</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SCM Generation</w:t>
        </w:r>
        <w:r w:rsidR="00B75E1B">
          <w:rPr>
            <w:noProof/>
            <w:webHidden/>
          </w:rPr>
          <w:tab/>
        </w:r>
        <w:r w:rsidR="00B75E1B">
          <w:rPr>
            <w:noProof/>
            <w:webHidden/>
          </w:rPr>
          <w:fldChar w:fldCharType="begin"/>
        </w:r>
        <w:r w:rsidR="00B75E1B">
          <w:rPr>
            <w:noProof/>
            <w:webHidden/>
          </w:rPr>
          <w:instrText xml:space="preserve"> PAGEREF _Toc396989164 \h </w:instrText>
        </w:r>
        <w:r w:rsidR="00B75E1B">
          <w:rPr>
            <w:noProof/>
            <w:webHidden/>
          </w:rPr>
        </w:r>
        <w:r w:rsidR="00B75E1B">
          <w:rPr>
            <w:noProof/>
            <w:webHidden/>
          </w:rPr>
          <w:fldChar w:fldCharType="separate"/>
        </w:r>
        <w:r w:rsidR="00B75E1B">
          <w:rPr>
            <w:noProof/>
            <w:webHidden/>
          </w:rPr>
          <w:t>37</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65" w:history="1">
        <w:r w:rsidR="00B75E1B" w:rsidRPr="009B34D1">
          <w:rPr>
            <w:rStyle w:val="Hyperlink"/>
            <w:noProof/>
            <w14:scene3d>
              <w14:camera w14:prst="orthographicFront"/>
              <w14:lightRig w14:rig="threePt" w14:dir="t">
                <w14:rot w14:lat="0" w14:lon="0" w14:rev="0"/>
              </w14:lightRig>
            </w14:scene3d>
          </w:rPr>
          <w:t>2.11.2</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Settlement Processing</w:t>
        </w:r>
        <w:r w:rsidR="00B75E1B">
          <w:rPr>
            <w:noProof/>
            <w:webHidden/>
          </w:rPr>
          <w:tab/>
        </w:r>
        <w:r w:rsidR="00B75E1B">
          <w:rPr>
            <w:noProof/>
            <w:webHidden/>
          </w:rPr>
          <w:fldChar w:fldCharType="begin"/>
        </w:r>
        <w:r w:rsidR="00B75E1B">
          <w:rPr>
            <w:noProof/>
            <w:webHidden/>
          </w:rPr>
          <w:instrText xml:space="preserve"> PAGEREF _Toc396989165 \h </w:instrText>
        </w:r>
        <w:r w:rsidR="00B75E1B">
          <w:rPr>
            <w:noProof/>
            <w:webHidden/>
          </w:rPr>
        </w:r>
        <w:r w:rsidR="00B75E1B">
          <w:rPr>
            <w:noProof/>
            <w:webHidden/>
          </w:rPr>
          <w:fldChar w:fldCharType="separate"/>
        </w:r>
        <w:r w:rsidR="00B75E1B">
          <w:rPr>
            <w:noProof/>
            <w:webHidden/>
          </w:rPr>
          <w:t>38</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66" w:history="1">
        <w:r w:rsidR="00B75E1B" w:rsidRPr="009B34D1">
          <w:rPr>
            <w:rStyle w:val="Hyperlink"/>
            <w:noProof/>
          </w:rPr>
          <w:t>2.12</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Reverting to Paper Process</w:t>
        </w:r>
        <w:r w:rsidR="00B75E1B">
          <w:rPr>
            <w:noProof/>
            <w:webHidden/>
          </w:rPr>
          <w:tab/>
        </w:r>
        <w:r w:rsidR="00B75E1B">
          <w:rPr>
            <w:noProof/>
            <w:webHidden/>
          </w:rPr>
          <w:fldChar w:fldCharType="begin"/>
        </w:r>
        <w:r w:rsidR="00B75E1B">
          <w:rPr>
            <w:noProof/>
            <w:webHidden/>
          </w:rPr>
          <w:instrText xml:space="preserve"> PAGEREF _Toc396989166 \h </w:instrText>
        </w:r>
        <w:r w:rsidR="00B75E1B">
          <w:rPr>
            <w:noProof/>
            <w:webHidden/>
          </w:rPr>
        </w:r>
        <w:r w:rsidR="00B75E1B">
          <w:rPr>
            <w:noProof/>
            <w:webHidden/>
          </w:rPr>
          <w:fldChar w:fldCharType="separate"/>
        </w:r>
        <w:r w:rsidR="00B75E1B">
          <w:rPr>
            <w:noProof/>
            <w:webHidden/>
          </w:rPr>
          <w:t>38</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67" w:history="1">
        <w:r w:rsidR="00B75E1B" w:rsidRPr="009B34D1">
          <w:rPr>
            <w:rStyle w:val="Hyperlink"/>
            <w:noProof/>
          </w:rPr>
          <w:t>2.13</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Priorities / Claim Urgencies</w:t>
        </w:r>
        <w:r w:rsidR="00B75E1B">
          <w:rPr>
            <w:noProof/>
            <w:webHidden/>
          </w:rPr>
          <w:tab/>
        </w:r>
        <w:r w:rsidR="00B75E1B">
          <w:rPr>
            <w:noProof/>
            <w:webHidden/>
          </w:rPr>
          <w:fldChar w:fldCharType="begin"/>
        </w:r>
        <w:r w:rsidR="00B75E1B">
          <w:rPr>
            <w:noProof/>
            <w:webHidden/>
          </w:rPr>
          <w:instrText xml:space="preserve"> PAGEREF _Toc396989167 \h </w:instrText>
        </w:r>
        <w:r w:rsidR="00B75E1B">
          <w:rPr>
            <w:noProof/>
            <w:webHidden/>
          </w:rPr>
        </w:r>
        <w:r w:rsidR="00B75E1B">
          <w:rPr>
            <w:noProof/>
            <w:webHidden/>
          </w:rPr>
          <w:fldChar w:fldCharType="separate"/>
        </w:r>
        <w:r w:rsidR="00B75E1B">
          <w:rPr>
            <w:noProof/>
            <w:webHidden/>
          </w:rPr>
          <w:t>38</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68" w:history="1">
        <w:r w:rsidR="00B75E1B" w:rsidRPr="009B34D1">
          <w:rPr>
            <w:rStyle w:val="Hyperlink"/>
            <w:noProof/>
          </w:rPr>
          <w:t>2.14</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Multi Layer and/or Cross Market Claims</w:t>
        </w:r>
        <w:r w:rsidR="00B75E1B">
          <w:rPr>
            <w:noProof/>
            <w:webHidden/>
          </w:rPr>
          <w:tab/>
        </w:r>
        <w:r w:rsidR="00B75E1B">
          <w:rPr>
            <w:noProof/>
            <w:webHidden/>
          </w:rPr>
          <w:fldChar w:fldCharType="begin"/>
        </w:r>
        <w:r w:rsidR="00B75E1B">
          <w:rPr>
            <w:noProof/>
            <w:webHidden/>
          </w:rPr>
          <w:instrText xml:space="preserve"> PAGEREF _Toc396989168 \h </w:instrText>
        </w:r>
        <w:r w:rsidR="00B75E1B">
          <w:rPr>
            <w:noProof/>
            <w:webHidden/>
          </w:rPr>
        </w:r>
        <w:r w:rsidR="00B75E1B">
          <w:rPr>
            <w:noProof/>
            <w:webHidden/>
          </w:rPr>
          <w:fldChar w:fldCharType="separate"/>
        </w:r>
        <w:r w:rsidR="00B75E1B">
          <w:rPr>
            <w:noProof/>
            <w:webHidden/>
          </w:rPr>
          <w:t>38</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69" w:history="1">
        <w:r w:rsidR="00B75E1B" w:rsidRPr="009B34D1">
          <w:rPr>
            <w:rStyle w:val="Hyperlink"/>
            <w:noProof/>
          </w:rPr>
          <w:t>2.15</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Multiple OSNDs</w:t>
        </w:r>
        <w:r w:rsidR="00B75E1B">
          <w:rPr>
            <w:noProof/>
            <w:webHidden/>
          </w:rPr>
          <w:tab/>
        </w:r>
        <w:r w:rsidR="00B75E1B">
          <w:rPr>
            <w:noProof/>
            <w:webHidden/>
          </w:rPr>
          <w:fldChar w:fldCharType="begin"/>
        </w:r>
        <w:r w:rsidR="00B75E1B">
          <w:rPr>
            <w:noProof/>
            <w:webHidden/>
          </w:rPr>
          <w:instrText xml:space="preserve"> PAGEREF _Toc396989169 \h </w:instrText>
        </w:r>
        <w:r w:rsidR="00B75E1B">
          <w:rPr>
            <w:noProof/>
            <w:webHidden/>
          </w:rPr>
        </w:r>
        <w:r w:rsidR="00B75E1B">
          <w:rPr>
            <w:noProof/>
            <w:webHidden/>
          </w:rPr>
          <w:fldChar w:fldCharType="separate"/>
        </w:r>
        <w:r w:rsidR="00B75E1B">
          <w:rPr>
            <w:noProof/>
            <w:webHidden/>
          </w:rPr>
          <w:t>39</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70" w:history="1">
        <w:r w:rsidR="00B75E1B" w:rsidRPr="009B34D1">
          <w:rPr>
            <w:rStyle w:val="Hyperlink"/>
            <w:noProof/>
          </w:rPr>
          <w:t>2.16</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Political Risks</w:t>
        </w:r>
        <w:r w:rsidR="00B75E1B">
          <w:rPr>
            <w:noProof/>
            <w:webHidden/>
          </w:rPr>
          <w:tab/>
        </w:r>
        <w:r w:rsidR="00B75E1B">
          <w:rPr>
            <w:noProof/>
            <w:webHidden/>
          </w:rPr>
          <w:fldChar w:fldCharType="begin"/>
        </w:r>
        <w:r w:rsidR="00B75E1B">
          <w:rPr>
            <w:noProof/>
            <w:webHidden/>
          </w:rPr>
          <w:instrText xml:space="preserve"> PAGEREF _Toc396989170 \h </w:instrText>
        </w:r>
        <w:r w:rsidR="00B75E1B">
          <w:rPr>
            <w:noProof/>
            <w:webHidden/>
          </w:rPr>
        </w:r>
        <w:r w:rsidR="00B75E1B">
          <w:rPr>
            <w:noProof/>
            <w:webHidden/>
          </w:rPr>
          <w:fldChar w:fldCharType="separate"/>
        </w:r>
        <w:r w:rsidR="00B75E1B">
          <w:rPr>
            <w:noProof/>
            <w:webHidden/>
          </w:rPr>
          <w:t>39</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71" w:history="1">
        <w:r w:rsidR="00B75E1B" w:rsidRPr="009B34D1">
          <w:rPr>
            <w:rStyle w:val="Hyperlink"/>
            <w:noProof/>
          </w:rPr>
          <w:t>2.17</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Kidnap &amp; Ransom</w:t>
        </w:r>
        <w:r w:rsidR="00B75E1B">
          <w:rPr>
            <w:noProof/>
            <w:webHidden/>
          </w:rPr>
          <w:tab/>
        </w:r>
        <w:r w:rsidR="00B75E1B">
          <w:rPr>
            <w:noProof/>
            <w:webHidden/>
          </w:rPr>
          <w:fldChar w:fldCharType="begin"/>
        </w:r>
        <w:r w:rsidR="00B75E1B">
          <w:rPr>
            <w:noProof/>
            <w:webHidden/>
          </w:rPr>
          <w:instrText xml:space="preserve"> PAGEREF _Toc396989171 \h </w:instrText>
        </w:r>
        <w:r w:rsidR="00B75E1B">
          <w:rPr>
            <w:noProof/>
            <w:webHidden/>
          </w:rPr>
        </w:r>
        <w:r w:rsidR="00B75E1B">
          <w:rPr>
            <w:noProof/>
            <w:webHidden/>
          </w:rPr>
          <w:fldChar w:fldCharType="separate"/>
        </w:r>
        <w:r w:rsidR="00B75E1B">
          <w:rPr>
            <w:noProof/>
            <w:webHidden/>
          </w:rPr>
          <w:t>39</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72" w:history="1">
        <w:r w:rsidR="00B75E1B" w:rsidRPr="009B34D1">
          <w:rPr>
            <w:rStyle w:val="Hyperlink"/>
            <w:noProof/>
          </w:rPr>
          <w:t>2.18</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Space</w:t>
        </w:r>
        <w:r w:rsidR="00B75E1B">
          <w:rPr>
            <w:noProof/>
            <w:webHidden/>
          </w:rPr>
          <w:tab/>
        </w:r>
        <w:r w:rsidR="00B75E1B">
          <w:rPr>
            <w:noProof/>
            <w:webHidden/>
          </w:rPr>
          <w:fldChar w:fldCharType="begin"/>
        </w:r>
        <w:r w:rsidR="00B75E1B">
          <w:rPr>
            <w:noProof/>
            <w:webHidden/>
          </w:rPr>
          <w:instrText xml:space="preserve"> PAGEREF _Toc396989172 \h </w:instrText>
        </w:r>
        <w:r w:rsidR="00B75E1B">
          <w:rPr>
            <w:noProof/>
            <w:webHidden/>
          </w:rPr>
        </w:r>
        <w:r w:rsidR="00B75E1B">
          <w:rPr>
            <w:noProof/>
            <w:webHidden/>
          </w:rPr>
          <w:fldChar w:fldCharType="separate"/>
        </w:r>
        <w:r w:rsidR="00B75E1B">
          <w:rPr>
            <w:noProof/>
            <w:webHidden/>
          </w:rPr>
          <w:t>39</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73" w:history="1">
        <w:r w:rsidR="00B75E1B" w:rsidRPr="009B34D1">
          <w:rPr>
            <w:rStyle w:val="Hyperlink"/>
            <w:noProof/>
          </w:rPr>
          <w:t>2.19</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Bloodstock</w:t>
        </w:r>
        <w:r w:rsidR="00B75E1B">
          <w:rPr>
            <w:noProof/>
            <w:webHidden/>
          </w:rPr>
          <w:tab/>
        </w:r>
        <w:r w:rsidR="00B75E1B">
          <w:rPr>
            <w:noProof/>
            <w:webHidden/>
          </w:rPr>
          <w:fldChar w:fldCharType="begin"/>
        </w:r>
        <w:r w:rsidR="00B75E1B">
          <w:rPr>
            <w:noProof/>
            <w:webHidden/>
          </w:rPr>
          <w:instrText xml:space="preserve"> PAGEREF _Toc396989173 \h </w:instrText>
        </w:r>
        <w:r w:rsidR="00B75E1B">
          <w:rPr>
            <w:noProof/>
            <w:webHidden/>
          </w:rPr>
        </w:r>
        <w:r w:rsidR="00B75E1B">
          <w:rPr>
            <w:noProof/>
            <w:webHidden/>
          </w:rPr>
          <w:fldChar w:fldCharType="separate"/>
        </w:r>
        <w:r w:rsidR="00B75E1B">
          <w:rPr>
            <w:noProof/>
            <w:webHidden/>
          </w:rPr>
          <w:t>40</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74" w:history="1">
        <w:r w:rsidR="00B75E1B" w:rsidRPr="009B34D1">
          <w:rPr>
            <w:rStyle w:val="Hyperlink"/>
            <w:noProof/>
          </w:rPr>
          <w:t>2.20</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Binding Authorities</w:t>
        </w:r>
        <w:r w:rsidR="00B75E1B">
          <w:rPr>
            <w:noProof/>
            <w:webHidden/>
          </w:rPr>
          <w:tab/>
        </w:r>
        <w:r w:rsidR="00B75E1B">
          <w:rPr>
            <w:noProof/>
            <w:webHidden/>
          </w:rPr>
          <w:fldChar w:fldCharType="begin"/>
        </w:r>
        <w:r w:rsidR="00B75E1B">
          <w:rPr>
            <w:noProof/>
            <w:webHidden/>
          </w:rPr>
          <w:instrText xml:space="preserve"> PAGEREF _Toc396989174 \h </w:instrText>
        </w:r>
        <w:r w:rsidR="00B75E1B">
          <w:rPr>
            <w:noProof/>
            <w:webHidden/>
          </w:rPr>
        </w:r>
        <w:r w:rsidR="00B75E1B">
          <w:rPr>
            <w:noProof/>
            <w:webHidden/>
          </w:rPr>
          <w:fldChar w:fldCharType="separate"/>
        </w:r>
        <w:r w:rsidR="00B75E1B">
          <w:rPr>
            <w:noProof/>
            <w:webHidden/>
          </w:rPr>
          <w:t>40</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75" w:history="1">
        <w:r w:rsidR="00B75E1B" w:rsidRPr="009B34D1">
          <w:rPr>
            <w:rStyle w:val="Hyperlink"/>
            <w:noProof/>
            <w14:scene3d>
              <w14:camera w14:prst="orthographicFront"/>
              <w14:lightRig w14:rig="threePt" w14:dir="t">
                <w14:rot w14:lat="0" w14:lon="0" w14:rev="0"/>
              </w14:lightRig>
            </w14:scene3d>
          </w:rPr>
          <w:t>2.20.1</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Advice of the bordereaux</w:t>
        </w:r>
        <w:r w:rsidR="00B75E1B">
          <w:rPr>
            <w:noProof/>
            <w:webHidden/>
          </w:rPr>
          <w:tab/>
        </w:r>
        <w:r w:rsidR="00B75E1B">
          <w:rPr>
            <w:noProof/>
            <w:webHidden/>
          </w:rPr>
          <w:fldChar w:fldCharType="begin"/>
        </w:r>
        <w:r w:rsidR="00B75E1B">
          <w:rPr>
            <w:noProof/>
            <w:webHidden/>
          </w:rPr>
          <w:instrText xml:space="preserve"> PAGEREF _Toc396989175 \h </w:instrText>
        </w:r>
        <w:r w:rsidR="00B75E1B">
          <w:rPr>
            <w:noProof/>
            <w:webHidden/>
          </w:rPr>
        </w:r>
        <w:r w:rsidR="00B75E1B">
          <w:rPr>
            <w:noProof/>
            <w:webHidden/>
          </w:rPr>
          <w:fldChar w:fldCharType="separate"/>
        </w:r>
        <w:r w:rsidR="00B75E1B">
          <w:rPr>
            <w:noProof/>
            <w:webHidden/>
          </w:rPr>
          <w:t>40</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76" w:history="1">
        <w:r w:rsidR="00B75E1B" w:rsidRPr="009B34D1">
          <w:rPr>
            <w:rStyle w:val="Hyperlink"/>
            <w:noProof/>
            <w14:scene3d>
              <w14:camera w14:prst="orthographicFront"/>
              <w14:lightRig w14:rig="threePt" w14:dir="t">
                <w14:rot w14:lat="0" w14:lon="0" w14:rev="0"/>
              </w14:lightRig>
            </w14:scene3d>
          </w:rPr>
          <w:t>2.20.2</w:t>
        </w:r>
        <w:r w:rsidR="00B75E1B">
          <w:rPr>
            <w:rFonts w:asciiTheme="minorHAnsi" w:eastAsiaTheme="minorEastAsia" w:hAnsiTheme="minorHAnsi" w:cstheme="minorBidi"/>
            <w:noProof/>
            <w:sz w:val="22"/>
            <w:szCs w:val="22"/>
            <w:lang w:eastAsia="en-GB"/>
          </w:rPr>
          <w:tab/>
        </w:r>
        <w:r w:rsidR="00B75E1B" w:rsidRPr="009B34D1">
          <w:rPr>
            <w:rStyle w:val="Hyperlink"/>
            <w:noProof/>
          </w:rPr>
          <w:t>Advice of loss funds</w:t>
        </w:r>
        <w:r w:rsidR="00B75E1B">
          <w:rPr>
            <w:noProof/>
            <w:webHidden/>
          </w:rPr>
          <w:tab/>
        </w:r>
        <w:r w:rsidR="00B75E1B">
          <w:rPr>
            <w:noProof/>
            <w:webHidden/>
          </w:rPr>
          <w:fldChar w:fldCharType="begin"/>
        </w:r>
        <w:r w:rsidR="00B75E1B">
          <w:rPr>
            <w:noProof/>
            <w:webHidden/>
          </w:rPr>
          <w:instrText xml:space="preserve"> PAGEREF _Toc396989176 \h </w:instrText>
        </w:r>
        <w:r w:rsidR="00B75E1B">
          <w:rPr>
            <w:noProof/>
            <w:webHidden/>
          </w:rPr>
        </w:r>
        <w:r w:rsidR="00B75E1B">
          <w:rPr>
            <w:noProof/>
            <w:webHidden/>
          </w:rPr>
          <w:fldChar w:fldCharType="separate"/>
        </w:r>
        <w:r w:rsidR="00B75E1B">
          <w:rPr>
            <w:noProof/>
            <w:webHidden/>
          </w:rPr>
          <w:t>40</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77" w:history="1">
        <w:r w:rsidR="00B75E1B" w:rsidRPr="009B34D1">
          <w:rPr>
            <w:rStyle w:val="Hyperlink"/>
            <w:noProof/>
            <w14:scene3d>
              <w14:camera w14:prst="orthographicFront"/>
              <w14:lightRig w14:rig="threePt" w14:dir="t">
                <w14:rot w14:lat="0" w14:lon="0" w14:rev="0"/>
              </w14:lightRig>
            </w14:scene3d>
          </w:rPr>
          <w:t>2.20.3</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First Advice of Above Authority (Individual) Claim</w:t>
        </w:r>
        <w:r w:rsidR="00B75E1B">
          <w:rPr>
            <w:noProof/>
            <w:webHidden/>
          </w:rPr>
          <w:tab/>
        </w:r>
        <w:r w:rsidR="00B75E1B">
          <w:rPr>
            <w:noProof/>
            <w:webHidden/>
          </w:rPr>
          <w:fldChar w:fldCharType="begin"/>
        </w:r>
        <w:r w:rsidR="00B75E1B">
          <w:rPr>
            <w:noProof/>
            <w:webHidden/>
          </w:rPr>
          <w:instrText xml:space="preserve"> PAGEREF _Toc396989177 \h </w:instrText>
        </w:r>
        <w:r w:rsidR="00B75E1B">
          <w:rPr>
            <w:noProof/>
            <w:webHidden/>
          </w:rPr>
        </w:r>
        <w:r w:rsidR="00B75E1B">
          <w:rPr>
            <w:noProof/>
            <w:webHidden/>
          </w:rPr>
          <w:fldChar w:fldCharType="separate"/>
        </w:r>
        <w:r w:rsidR="00B75E1B">
          <w:rPr>
            <w:noProof/>
            <w:webHidden/>
          </w:rPr>
          <w:t>40</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78" w:history="1">
        <w:r w:rsidR="00B75E1B" w:rsidRPr="009B34D1">
          <w:rPr>
            <w:rStyle w:val="Hyperlink"/>
            <w:noProof/>
            <w14:scene3d>
              <w14:camera w14:prst="orthographicFront"/>
              <w14:lightRig w14:rig="threePt" w14:dir="t">
                <w14:rot w14:lat="0" w14:lon="0" w14:rev="0"/>
              </w14:lightRig>
            </w14:scene3d>
          </w:rPr>
          <w:t>2.20.4</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Subsequent Advice of Above Authority (Individual) Claim</w:t>
        </w:r>
        <w:r w:rsidR="00B75E1B">
          <w:rPr>
            <w:noProof/>
            <w:webHidden/>
          </w:rPr>
          <w:tab/>
        </w:r>
        <w:r w:rsidR="00B75E1B">
          <w:rPr>
            <w:noProof/>
            <w:webHidden/>
          </w:rPr>
          <w:fldChar w:fldCharType="begin"/>
        </w:r>
        <w:r w:rsidR="00B75E1B">
          <w:rPr>
            <w:noProof/>
            <w:webHidden/>
          </w:rPr>
          <w:instrText xml:space="preserve"> PAGEREF _Toc396989178 \h </w:instrText>
        </w:r>
        <w:r w:rsidR="00B75E1B">
          <w:rPr>
            <w:noProof/>
            <w:webHidden/>
          </w:rPr>
        </w:r>
        <w:r w:rsidR="00B75E1B">
          <w:rPr>
            <w:noProof/>
            <w:webHidden/>
          </w:rPr>
          <w:fldChar w:fldCharType="separate"/>
        </w:r>
        <w:r w:rsidR="00B75E1B">
          <w:rPr>
            <w:noProof/>
            <w:webHidden/>
          </w:rPr>
          <w:t>41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79" w:history="1">
        <w:r w:rsidR="00B75E1B" w:rsidRPr="009B34D1">
          <w:rPr>
            <w:rStyle w:val="Hyperlink"/>
            <w:noProof/>
            <w14:scene3d>
              <w14:camera w14:prst="orthographicFront"/>
              <w14:lightRig w14:rig="threePt" w14:dir="t">
                <w14:rot w14:lat="0" w14:lon="0" w14:rev="0"/>
              </w14:lightRig>
            </w14:scene3d>
          </w:rPr>
          <w:t>2.20.5</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Cash Loss on Individual Claim</w:t>
        </w:r>
        <w:r w:rsidR="00B75E1B">
          <w:rPr>
            <w:noProof/>
            <w:webHidden/>
          </w:rPr>
          <w:tab/>
        </w:r>
        <w:r w:rsidR="00B75E1B">
          <w:rPr>
            <w:noProof/>
            <w:webHidden/>
          </w:rPr>
          <w:fldChar w:fldCharType="begin"/>
        </w:r>
        <w:r w:rsidR="00B75E1B">
          <w:rPr>
            <w:noProof/>
            <w:webHidden/>
          </w:rPr>
          <w:instrText xml:space="preserve"> PAGEREF _Toc396989179 \h </w:instrText>
        </w:r>
        <w:r w:rsidR="00B75E1B">
          <w:rPr>
            <w:noProof/>
            <w:webHidden/>
          </w:rPr>
        </w:r>
        <w:r w:rsidR="00B75E1B">
          <w:rPr>
            <w:noProof/>
            <w:webHidden/>
          </w:rPr>
          <w:fldChar w:fldCharType="separate"/>
        </w:r>
        <w:r w:rsidR="00B75E1B">
          <w:rPr>
            <w:noProof/>
            <w:webHidden/>
          </w:rPr>
          <w:t>41</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80" w:history="1">
        <w:r w:rsidR="00B75E1B" w:rsidRPr="009B34D1">
          <w:rPr>
            <w:rStyle w:val="Hyperlink"/>
            <w:noProof/>
            <w14:scene3d>
              <w14:camera w14:prst="orthographicFront"/>
              <w14:lightRig w14:rig="threePt" w14:dir="t">
                <w14:rot w14:lat="0" w14:lon="0" w14:rev="0"/>
              </w14:lightRig>
            </w14:scene3d>
          </w:rPr>
          <w:t>2.20.6</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Co-Lead Binding Authorities</w:t>
        </w:r>
        <w:r w:rsidR="00B75E1B">
          <w:rPr>
            <w:noProof/>
            <w:webHidden/>
          </w:rPr>
          <w:tab/>
        </w:r>
        <w:r w:rsidR="00B75E1B">
          <w:rPr>
            <w:noProof/>
            <w:webHidden/>
          </w:rPr>
          <w:fldChar w:fldCharType="begin"/>
        </w:r>
        <w:r w:rsidR="00B75E1B">
          <w:rPr>
            <w:noProof/>
            <w:webHidden/>
          </w:rPr>
          <w:instrText xml:space="preserve"> PAGEREF _Toc396989180 \h </w:instrText>
        </w:r>
        <w:r w:rsidR="00B75E1B">
          <w:rPr>
            <w:noProof/>
            <w:webHidden/>
          </w:rPr>
        </w:r>
        <w:r w:rsidR="00B75E1B">
          <w:rPr>
            <w:noProof/>
            <w:webHidden/>
          </w:rPr>
          <w:fldChar w:fldCharType="separate"/>
        </w:r>
        <w:r w:rsidR="00B75E1B">
          <w:rPr>
            <w:noProof/>
            <w:webHidden/>
          </w:rPr>
          <w:t>42</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81" w:history="1">
        <w:r w:rsidR="00B75E1B" w:rsidRPr="009B34D1">
          <w:rPr>
            <w:rStyle w:val="Hyperlink"/>
            <w:noProof/>
            <w14:scene3d>
              <w14:camera w14:prst="orthographicFront"/>
              <w14:lightRig w14:rig="threePt" w14:dir="t">
                <w14:rot w14:lat="0" w14:lon="0" w14:rev="0"/>
              </w14:lightRig>
            </w14:scene3d>
          </w:rPr>
          <w:t>2.20.7</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Above Authority Claims on Scheme Canada business</w:t>
        </w:r>
        <w:r w:rsidR="00B75E1B">
          <w:rPr>
            <w:noProof/>
            <w:webHidden/>
          </w:rPr>
          <w:tab/>
        </w:r>
        <w:r w:rsidR="00B75E1B">
          <w:rPr>
            <w:noProof/>
            <w:webHidden/>
          </w:rPr>
          <w:fldChar w:fldCharType="begin"/>
        </w:r>
        <w:r w:rsidR="00B75E1B">
          <w:rPr>
            <w:noProof/>
            <w:webHidden/>
          </w:rPr>
          <w:instrText xml:space="preserve"> PAGEREF _Toc396989181 \h </w:instrText>
        </w:r>
        <w:r w:rsidR="00B75E1B">
          <w:rPr>
            <w:noProof/>
            <w:webHidden/>
          </w:rPr>
        </w:r>
        <w:r w:rsidR="00B75E1B">
          <w:rPr>
            <w:noProof/>
            <w:webHidden/>
          </w:rPr>
          <w:fldChar w:fldCharType="separate"/>
        </w:r>
        <w:r w:rsidR="00B75E1B">
          <w:rPr>
            <w:noProof/>
            <w:webHidden/>
          </w:rPr>
          <w:t>44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82" w:history="1">
        <w:r w:rsidR="00B75E1B" w:rsidRPr="009B34D1">
          <w:rPr>
            <w:rStyle w:val="Hyperlink"/>
            <w:noProof/>
            <w14:scene3d>
              <w14:camera w14:prst="orthographicFront"/>
              <w14:lightRig w14:rig="threePt" w14:dir="t">
                <w14:rot w14:lat="0" w14:lon="0" w14:rev="0"/>
              </w14:lightRig>
            </w14:scene3d>
          </w:rPr>
          <w:t>2.20.8</w:t>
        </w:r>
        <w:r w:rsidR="00B75E1B">
          <w:rPr>
            <w:rFonts w:asciiTheme="minorHAnsi" w:eastAsiaTheme="minorEastAsia" w:hAnsiTheme="minorHAnsi" w:cstheme="minorBidi"/>
            <w:noProof/>
            <w:sz w:val="22"/>
            <w:szCs w:val="22"/>
            <w:lang w:eastAsia="en-GB"/>
          </w:rPr>
          <w:tab/>
        </w:r>
        <w:r w:rsidR="00B75E1B" w:rsidRPr="009B34D1">
          <w:rPr>
            <w:rStyle w:val="Hyperlink"/>
            <w:noProof/>
          </w:rPr>
          <w:t>Multiple OSNDs Inclusive of Aviation Verticals</w:t>
        </w:r>
        <w:r w:rsidR="00B75E1B">
          <w:rPr>
            <w:noProof/>
            <w:webHidden/>
          </w:rPr>
          <w:tab/>
        </w:r>
        <w:r w:rsidR="00B75E1B">
          <w:rPr>
            <w:noProof/>
            <w:webHidden/>
          </w:rPr>
          <w:fldChar w:fldCharType="begin"/>
        </w:r>
        <w:r w:rsidR="00B75E1B">
          <w:rPr>
            <w:noProof/>
            <w:webHidden/>
          </w:rPr>
          <w:instrText xml:space="preserve"> PAGEREF _Toc396989182 \h </w:instrText>
        </w:r>
        <w:r w:rsidR="00B75E1B">
          <w:rPr>
            <w:noProof/>
            <w:webHidden/>
          </w:rPr>
        </w:r>
        <w:r w:rsidR="00B75E1B">
          <w:rPr>
            <w:noProof/>
            <w:webHidden/>
          </w:rPr>
          <w:fldChar w:fldCharType="separate"/>
        </w:r>
        <w:r w:rsidR="00B75E1B">
          <w:rPr>
            <w:noProof/>
            <w:webHidden/>
          </w:rPr>
          <w:t>44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83" w:history="1">
        <w:r w:rsidR="00B75E1B" w:rsidRPr="009B34D1">
          <w:rPr>
            <w:rStyle w:val="Hyperlink"/>
            <w:noProof/>
            <w14:scene3d>
              <w14:camera w14:prst="orthographicFront"/>
              <w14:lightRig w14:rig="threePt" w14:dir="t">
                <w14:rot w14:lat="0" w14:lon="0" w14:rev="0"/>
              </w14:lightRig>
            </w14:scene3d>
          </w:rPr>
          <w:t>2.20.9</w:t>
        </w:r>
        <w:r w:rsidR="00B75E1B">
          <w:rPr>
            <w:rFonts w:asciiTheme="minorHAnsi" w:eastAsiaTheme="minorEastAsia" w:hAnsiTheme="minorHAnsi" w:cstheme="minorBidi"/>
            <w:noProof/>
            <w:sz w:val="22"/>
            <w:szCs w:val="22"/>
            <w:lang w:eastAsia="en-GB"/>
          </w:rPr>
          <w:tab/>
        </w:r>
        <w:r w:rsidR="00B75E1B" w:rsidRPr="009B34D1">
          <w:rPr>
            <w:rStyle w:val="Hyperlink"/>
            <w:noProof/>
          </w:rPr>
          <w:t>Conditions</w:t>
        </w:r>
        <w:r w:rsidR="00B75E1B">
          <w:rPr>
            <w:noProof/>
            <w:webHidden/>
          </w:rPr>
          <w:tab/>
        </w:r>
        <w:r w:rsidR="00B75E1B">
          <w:rPr>
            <w:noProof/>
            <w:webHidden/>
          </w:rPr>
          <w:fldChar w:fldCharType="begin"/>
        </w:r>
        <w:r w:rsidR="00B75E1B">
          <w:rPr>
            <w:noProof/>
            <w:webHidden/>
          </w:rPr>
          <w:instrText xml:space="preserve"> PAGEREF _Toc396989183 \h </w:instrText>
        </w:r>
        <w:r w:rsidR="00B75E1B">
          <w:rPr>
            <w:noProof/>
            <w:webHidden/>
          </w:rPr>
        </w:r>
        <w:r w:rsidR="00B75E1B">
          <w:rPr>
            <w:noProof/>
            <w:webHidden/>
          </w:rPr>
          <w:fldChar w:fldCharType="separate"/>
        </w:r>
        <w:r w:rsidR="00B75E1B">
          <w:rPr>
            <w:noProof/>
            <w:webHidden/>
          </w:rPr>
          <w:t>44</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84" w:history="1">
        <w:r w:rsidR="00B75E1B" w:rsidRPr="009B34D1">
          <w:rPr>
            <w:rStyle w:val="Hyperlink"/>
            <w:noProof/>
          </w:rPr>
          <w:t>2.21</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Premium submission and claims process</w:t>
        </w:r>
        <w:r w:rsidR="00B75E1B">
          <w:rPr>
            <w:noProof/>
            <w:webHidden/>
          </w:rPr>
          <w:tab/>
        </w:r>
        <w:r w:rsidR="00B75E1B">
          <w:rPr>
            <w:noProof/>
            <w:webHidden/>
          </w:rPr>
          <w:fldChar w:fldCharType="begin"/>
        </w:r>
        <w:r w:rsidR="00B75E1B">
          <w:rPr>
            <w:noProof/>
            <w:webHidden/>
          </w:rPr>
          <w:instrText xml:space="preserve"> PAGEREF _Toc396989184 \h </w:instrText>
        </w:r>
        <w:r w:rsidR="00B75E1B">
          <w:rPr>
            <w:noProof/>
            <w:webHidden/>
          </w:rPr>
        </w:r>
        <w:r w:rsidR="00B75E1B">
          <w:rPr>
            <w:noProof/>
            <w:webHidden/>
          </w:rPr>
          <w:fldChar w:fldCharType="separate"/>
        </w:r>
        <w:r w:rsidR="00B75E1B">
          <w:rPr>
            <w:noProof/>
            <w:webHidden/>
          </w:rPr>
          <w:t>45</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85" w:history="1">
        <w:r w:rsidR="00B75E1B" w:rsidRPr="009B34D1">
          <w:rPr>
            <w:rStyle w:val="Hyperlink"/>
            <w:noProof/>
            <w14:scene3d>
              <w14:camera w14:prst="orthographicFront"/>
              <w14:lightRig w14:rig="threePt" w14:dir="t">
                <w14:rot w14:lat="0" w14:lon="0" w14:rev="0"/>
              </w14:lightRig>
            </w14:scene3d>
          </w:rPr>
          <w:t>2.21.1</w:t>
        </w:r>
        <w:r w:rsidR="00B75E1B">
          <w:rPr>
            <w:rFonts w:asciiTheme="minorHAnsi" w:eastAsiaTheme="minorEastAsia" w:hAnsiTheme="minorHAnsi" w:cstheme="minorBidi"/>
            <w:noProof/>
            <w:sz w:val="22"/>
            <w:szCs w:val="22"/>
            <w:lang w:eastAsia="en-GB"/>
          </w:rPr>
          <w:tab/>
        </w:r>
        <w:r w:rsidR="00B75E1B" w:rsidRPr="009B34D1">
          <w:rPr>
            <w:rStyle w:val="Hyperlink"/>
            <w:noProof/>
          </w:rPr>
          <w:t>Process for Paper Premium Submissions</w:t>
        </w:r>
        <w:r w:rsidR="00B75E1B">
          <w:rPr>
            <w:noProof/>
            <w:webHidden/>
          </w:rPr>
          <w:tab/>
        </w:r>
        <w:r w:rsidR="00B75E1B">
          <w:rPr>
            <w:noProof/>
            <w:webHidden/>
          </w:rPr>
          <w:fldChar w:fldCharType="begin"/>
        </w:r>
        <w:r w:rsidR="00B75E1B">
          <w:rPr>
            <w:noProof/>
            <w:webHidden/>
          </w:rPr>
          <w:instrText xml:space="preserve"> PAGEREF _Toc396989185 \h </w:instrText>
        </w:r>
        <w:r w:rsidR="00B75E1B">
          <w:rPr>
            <w:noProof/>
            <w:webHidden/>
          </w:rPr>
        </w:r>
        <w:r w:rsidR="00B75E1B">
          <w:rPr>
            <w:noProof/>
            <w:webHidden/>
          </w:rPr>
          <w:fldChar w:fldCharType="separate"/>
        </w:r>
        <w:r w:rsidR="00B75E1B">
          <w:rPr>
            <w:noProof/>
            <w:webHidden/>
          </w:rPr>
          <w:t>45</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86" w:history="1">
        <w:r w:rsidR="00B75E1B" w:rsidRPr="009B34D1">
          <w:rPr>
            <w:rStyle w:val="Hyperlink"/>
            <w:noProof/>
            <w14:scene3d>
              <w14:camera w14:prst="orthographicFront"/>
              <w14:lightRig w14:rig="threePt" w14:dir="t">
                <w14:rot w14:lat="0" w14:lon="0" w14:rev="0"/>
              </w14:lightRig>
            </w14:scene3d>
          </w:rPr>
          <w:t>2.21.2</w:t>
        </w:r>
        <w:r w:rsidR="00B75E1B">
          <w:rPr>
            <w:rFonts w:asciiTheme="minorHAnsi" w:eastAsiaTheme="minorEastAsia" w:hAnsiTheme="minorHAnsi" w:cstheme="minorBidi"/>
            <w:noProof/>
            <w:sz w:val="22"/>
            <w:szCs w:val="22"/>
            <w:lang w:eastAsia="en-GB"/>
          </w:rPr>
          <w:tab/>
        </w:r>
        <w:r w:rsidR="00B75E1B" w:rsidRPr="009B34D1">
          <w:rPr>
            <w:rStyle w:val="Hyperlink"/>
            <w:noProof/>
          </w:rPr>
          <w:t>Claims where Subsequent Premium is Due</w:t>
        </w:r>
        <w:r w:rsidR="00B75E1B">
          <w:rPr>
            <w:noProof/>
            <w:webHidden/>
          </w:rPr>
          <w:tab/>
        </w:r>
        <w:r w:rsidR="00B75E1B">
          <w:rPr>
            <w:noProof/>
            <w:webHidden/>
          </w:rPr>
          <w:fldChar w:fldCharType="begin"/>
        </w:r>
        <w:r w:rsidR="00B75E1B">
          <w:rPr>
            <w:noProof/>
            <w:webHidden/>
          </w:rPr>
          <w:instrText xml:space="preserve"> PAGEREF _Toc396989186 \h </w:instrText>
        </w:r>
        <w:r w:rsidR="00B75E1B">
          <w:rPr>
            <w:noProof/>
            <w:webHidden/>
          </w:rPr>
        </w:r>
        <w:r w:rsidR="00B75E1B">
          <w:rPr>
            <w:noProof/>
            <w:webHidden/>
          </w:rPr>
          <w:fldChar w:fldCharType="separate"/>
        </w:r>
        <w:r w:rsidR="00B75E1B">
          <w:rPr>
            <w:noProof/>
            <w:webHidden/>
          </w:rPr>
          <w:t>46</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87" w:history="1">
        <w:r w:rsidR="00B75E1B" w:rsidRPr="009B34D1">
          <w:rPr>
            <w:rStyle w:val="Hyperlink"/>
            <w:noProof/>
          </w:rPr>
          <w:t>2.22</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Simultaneous Reinstatements</w:t>
        </w:r>
        <w:r w:rsidR="00B75E1B">
          <w:rPr>
            <w:noProof/>
            <w:webHidden/>
          </w:rPr>
          <w:tab/>
        </w:r>
        <w:r w:rsidR="00B75E1B">
          <w:rPr>
            <w:noProof/>
            <w:webHidden/>
          </w:rPr>
          <w:fldChar w:fldCharType="begin"/>
        </w:r>
        <w:r w:rsidR="00B75E1B">
          <w:rPr>
            <w:noProof/>
            <w:webHidden/>
          </w:rPr>
          <w:instrText xml:space="preserve"> PAGEREF _Toc396989187 \h </w:instrText>
        </w:r>
        <w:r w:rsidR="00B75E1B">
          <w:rPr>
            <w:noProof/>
            <w:webHidden/>
          </w:rPr>
        </w:r>
        <w:r w:rsidR="00B75E1B">
          <w:rPr>
            <w:noProof/>
            <w:webHidden/>
          </w:rPr>
          <w:fldChar w:fldCharType="separate"/>
        </w:r>
        <w:r w:rsidR="00B75E1B">
          <w:rPr>
            <w:noProof/>
            <w:webHidden/>
          </w:rPr>
          <w:t>46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88" w:history="1">
        <w:r w:rsidR="00B75E1B" w:rsidRPr="009B34D1">
          <w:rPr>
            <w:rStyle w:val="Hyperlink"/>
            <w:noProof/>
            <w14:scene3d>
              <w14:camera w14:prst="orthographicFront"/>
              <w14:lightRig w14:rig="threePt" w14:dir="t">
                <w14:rot w14:lat="0" w14:lon="0" w14:rev="0"/>
              </w14:lightRig>
            </w14:scene3d>
          </w:rPr>
          <w:t>2.22.1</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Broker Submission</w:t>
        </w:r>
        <w:r w:rsidR="00B75E1B">
          <w:rPr>
            <w:noProof/>
            <w:webHidden/>
          </w:rPr>
          <w:tab/>
        </w:r>
        <w:r w:rsidR="00B75E1B">
          <w:rPr>
            <w:noProof/>
            <w:webHidden/>
          </w:rPr>
          <w:fldChar w:fldCharType="begin"/>
        </w:r>
        <w:r w:rsidR="00B75E1B">
          <w:rPr>
            <w:noProof/>
            <w:webHidden/>
          </w:rPr>
          <w:instrText xml:space="preserve"> PAGEREF _Toc396989188 \h </w:instrText>
        </w:r>
        <w:r w:rsidR="00B75E1B">
          <w:rPr>
            <w:noProof/>
            <w:webHidden/>
          </w:rPr>
        </w:r>
        <w:r w:rsidR="00B75E1B">
          <w:rPr>
            <w:noProof/>
            <w:webHidden/>
          </w:rPr>
          <w:fldChar w:fldCharType="separate"/>
        </w:r>
        <w:r w:rsidR="00B75E1B">
          <w:rPr>
            <w:noProof/>
            <w:webHidden/>
          </w:rPr>
          <w:t>46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89" w:history="1">
        <w:r w:rsidR="00B75E1B" w:rsidRPr="009B34D1">
          <w:rPr>
            <w:rStyle w:val="Hyperlink"/>
            <w:noProof/>
            <w14:scene3d>
              <w14:camera w14:prst="orthographicFront"/>
              <w14:lightRig w14:rig="threePt" w14:dir="t">
                <w14:rot w14:lat="0" w14:lon="0" w14:rev="0"/>
              </w14:lightRig>
            </w14:scene3d>
          </w:rPr>
          <w:t>2.22.2</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Lead Agreement Party Handling</w:t>
        </w:r>
        <w:r w:rsidR="00B75E1B">
          <w:rPr>
            <w:noProof/>
            <w:webHidden/>
          </w:rPr>
          <w:tab/>
        </w:r>
        <w:r w:rsidR="00B75E1B">
          <w:rPr>
            <w:noProof/>
            <w:webHidden/>
          </w:rPr>
          <w:fldChar w:fldCharType="begin"/>
        </w:r>
        <w:r w:rsidR="00B75E1B">
          <w:rPr>
            <w:noProof/>
            <w:webHidden/>
          </w:rPr>
          <w:instrText xml:space="preserve"> PAGEREF _Toc396989189 \h </w:instrText>
        </w:r>
        <w:r w:rsidR="00B75E1B">
          <w:rPr>
            <w:noProof/>
            <w:webHidden/>
          </w:rPr>
        </w:r>
        <w:r w:rsidR="00B75E1B">
          <w:rPr>
            <w:noProof/>
            <w:webHidden/>
          </w:rPr>
          <w:fldChar w:fldCharType="separate"/>
        </w:r>
        <w:r w:rsidR="00B75E1B">
          <w:rPr>
            <w:noProof/>
            <w:webHidden/>
          </w:rPr>
          <w:t>46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90" w:history="1">
        <w:r w:rsidR="00B75E1B" w:rsidRPr="009B34D1">
          <w:rPr>
            <w:rStyle w:val="Hyperlink"/>
            <w:noProof/>
            <w14:scene3d>
              <w14:camera w14:prst="orthographicFront"/>
              <w14:lightRig w14:rig="threePt" w14:dir="t">
                <w14:rot w14:lat="0" w14:lon="0" w14:rev="0"/>
              </w14:lightRig>
            </w14:scene3d>
          </w:rPr>
          <w:t>2.22.3</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ECF XCS Handling</w:t>
        </w:r>
        <w:r w:rsidR="00B75E1B">
          <w:rPr>
            <w:noProof/>
            <w:webHidden/>
          </w:rPr>
          <w:tab/>
        </w:r>
        <w:r w:rsidR="00B75E1B">
          <w:rPr>
            <w:noProof/>
            <w:webHidden/>
          </w:rPr>
          <w:fldChar w:fldCharType="begin"/>
        </w:r>
        <w:r w:rsidR="00B75E1B">
          <w:rPr>
            <w:noProof/>
            <w:webHidden/>
          </w:rPr>
          <w:instrText xml:space="preserve"> PAGEREF _Toc396989190 \h </w:instrText>
        </w:r>
        <w:r w:rsidR="00B75E1B">
          <w:rPr>
            <w:noProof/>
            <w:webHidden/>
          </w:rPr>
        </w:r>
        <w:r w:rsidR="00B75E1B">
          <w:rPr>
            <w:noProof/>
            <w:webHidden/>
          </w:rPr>
          <w:fldChar w:fldCharType="separate"/>
        </w:r>
        <w:r w:rsidR="00B75E1B">
          <w:rPr>
            <w:noProof/>
            <w:webHidden/>
          </w:rPr>
          <w:t>47</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91" w:history="1">
        <w:r w:rsidR="00B75E1B" w:rsidRPr="009B34D1">
          <w:rPr>
            <w:rStyle w:val="Hyperlink"/>
            <w:noProof/>
          </w:rPr>
          <w:t>2.23</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Reinsurance</w:t>
        </w:r>
        <w:r w:rsidR="00B75E1B">
          <w:rPr>
            <w:noProof/>
            <w:webHidden/>
          </w:rPr>
          <w:tab/>
        </w:r>
        <w:r w:rsidR="00B75E1B">
          <w:rPr>
            <w:noProof/>
            <w:webHidden/>
          </w:rPr>
          <w:fldChar w:fldCharType="begin"/>
        </w:r>
        <w:r w:rsidR="00B75E1B">
          <w:rPr>
            <w:noProof/>
            <w:webHidden/>
          </w:rPr>
          <w:instrText xml:space="preserve"> PAGEREF _Toc396989191 \h </w:instrText>
        </w:r>
        <w:r w:rsidR="00B75E1B">
          <w:rPr>
            <w:noProof/>
            <w:webHidden/>
          </w:rPr>
        </w:r>
        <w:r w:rsidR="00B75E1B">
          <w:rPr>
            <w:noProof/>
            <w:webHidden/>
          </w:rPr>
          <w:fldChar w:fldCharType="separate"/>
        </w:r>
        <w:r w:rsidR="00B75E1B">
          <w:rPr>
            <w:noProof/>
            <w:webHidden/>
          </w:rPr>
          <w:t>47</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92" w:history="1">
        <w:r w:rsidR="00B75E1B" w:rsidRPr="009B34D1">
          <w:rPr>
            <w:rStyle w:val="Hyperlink"/>
            <w:noProof/>
          </w:rPr>
          <w:t>2.24</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Corrections</w:t>
        </w:r>
        <w:r w:rsidR="00B75E1B">
          <w:rPr>
            <w:noProof/>
            <w:webHidden/>
          </w:rPr>
          <w:tab/>
        </w:r>
        <w:r w:rsidR="00B75E1B">
          <w:rPr>
            <w:noProof/>
            <w:webHidden/>
          </w:rPr>
          <w:fldChar w:fldCharType="begin"/>
        </w:r>
        <w:r w:rsidR="00B75E1B">
          <w:rPr>
            <w:noProof/>
            <w:webHidden/>
          </w:rPr>
          <w:instrText xml:space="preserve"> PAGEREF _Toc396989192 \h </w:instrText>
        </w:r>
        <w:r w:rsidR="00B75E1B">
          <w:rPr>
            <w:noProof/>
            <w:webHidden/>
          </w:rPr>
        </w:r>
        <w:r w:rsidR="00B75E1B">
          <w:rPr>
            <w:noProof/>
            <w:webHidden/>
          </w:rPr>
          <w:fldChar w:fldCharType="separate"/>
        </w:r>
        <w:r w:rsidR="00B75E1B">
          <w:rPr>
            <w:noProof/>
            <w:webHidden/>
          </w:rPr>
          <w:t>47</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93" w:history="1">
        <w:r w:rsidR="00B75E1B" w:rsidRPr="009B34D1">
          <w:rPr>
            <w:rStyle w:val="Hyperlink"/>
            <w:noProof/>
            <w14:scene3d>
              <w14:camera w14:prst="orthographicFront"/>
              <w14:lightRig w14:rig="threePt" w14:dir="t">
                <w14:rot w14:lat="0" w14:lon="0" w14:rev="0"/>
              </w14:lightRig>
            </w14:scene3d>
          </w:rPr>
          <w:t>2.24.1</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Pre – “Phase 6” Claims</w:t>
        </w:r>
        <w:r w:rsidR="00B75E1B">
          <w:rPr>
            <w:noProof/>
            <w:webHidden/>
          </w:rPr>
          <w:tab/>
        </w:r>
        <w:r w:rsidR="00B75E1B">
          <w:rPr>
            <w:noProof/>
            <w:webHidden/>
          </w:rPr>
          <w:fldChar w:fldCharType="begin"/>
        </w:r>
        <w:r w:rsidR="00B75E1B">
          <w:rPr>
            <w:noProof/>
            <w:webHidden/>
          </w:rPr>
          <w:instrText xml:space="preserve"> PAGEREF _Toc396989193 \h </w:instrText>
        </w:r>
        <w:r w:rsidR="00B75E1B">
          <w:rPr>
            <w:noProof/>
            <w:webHidden/>
          </w:rPr>
        </w:r>
        <w:r w:rsidR="00B75E1B">
          <w:rPr>
            <w:noProof/>
            <w:webHidden/>
          </w:rPr>
          <w:fldChar w:fldCharType="separate"/>
        </w:r>
        <w:r w:rsidR="00B75E1B">
          <w:rPr>
            <w:noProof/>
            <w:webHidden/>
          </w:rPr>
          <w:t>48</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94" w:history="1">
        <w:r w:rsidR="00B75E1B" w:rsidRPr="009B34D1">
          <w:rPr>
            <w:rStyle w:val="Hyperlink"/>
            <w:noProof/>
          </w:rPr>
          <w:t>2.25</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Loss Funds</w:t>
        </w:r>
        <w:r w:rsidR="00B75E1B">
          <w:rPr>
            <w:noProof/>
            <w:webHidden/>
          </w:rPr>
          <w:tab/>
        </w:r>
        <w:r w:rsidR="00B75E1B">
          <w:rPr>
            <w:noProof/>
            <w:webHidden/>
          </w:rPr>
          <w:fldChar w:fldCharType="begin"/>
        </w:r>
        <w:r w:rsidR="00B75E1B">
          <w:rPr>
            <w:noProof/>
            <w:webHidden/>
          </w:rPr>
          <w:instrText xml:space="preserve"> PAGEREF _Toc396989194 \h </w:instrText>
        </w:r>
        <w:r w:rsidR="00B75E1B">
          <w:rPr>
            <w:noProof/>
            <w:webHidden/>
          </w:rPr>
        </w:r>
        <w:r w:rsidR="00B75E1B">
          <w:rPr>
            <w:noProof/>
            <w:webHidden/>
          </w:rPr>
          <w:fldChar w:fldCharType="separate"/>
        </w:r>
        <w:r w:rsidR="00B75E1B">
          <w:rPr>
            <w:noProof/>
            <w:webHidden/>
          </w:rPr>
          <w:t>48</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95" w:history="1">
        <w:r w:rsidR="00B75E1B" w:rsidRPr="009B34D1">
          <w:rPr>
            <w:rStyle w:val="Hyperlink"/>
            <w:noProof/>
          </w:rPr>
          <w:t>2.26</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Direct Settlement of Indemnity</w:t>
        </w:r>
        <w:r w:rsidR="00B75E1B">
          <w:rPr>
            <w:noProof/>
            <w:webHidden/>
          </w:rPr>
          <w:tab/>
        </w:r>
        <w:r w:rsidR="00B75E1B">
          <w:rPr>
            <w:noProof/>
            <w:webHidden/>
          </w:rPr>
          <w:fldChar w:fldCharType="begin"/>
        </w:r>
        <w:r w:rsidR="00B75E1B">
          <w:rPr>
            <w:noProof/>
            <w:webHidden/>
          </w:rPr>
          <w:instrText xml:space="preserve"> PAGEREF _Toc396989195 \h </w:instrText>
        </w:r>
        <w:r w:rsidR="00B75E1B">
          <w:rPr>
            <w:noProof/>
            <w:webHidden/>
          </w:rPr>
        </w:r>
        <w:r w:rsidR="00B75E1B">
          <w:rPr>
            <w:noProof/>
            <w:webHidden/>
          </w:rPr>
          <w:fldChar w:fldCharType="separate"/>
        </w:r>
        <w:r w:rsidR="00B75E1B">
          <w:rPr>
            <w:noProof/>
            <w:webHidden/>
          </w:rPr>
          <w:t>48</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196" w:history="1">
        <w:r w:rsidR="00B75E1B" w:rsidRPr="009B34D1">
          <w:rPr>
            <w:rStyle w:val="Hyperlink"/>
            <w:noProof/>
          </w:rPr>
          <w:t>2.27</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Aggregates</w:t>
        </w:r>
        <w:r w:rsidR="00B75E1B">
          <w:rPr>
            <w:noProof/>
            <w:webHidden/>
          </w:rPr>
          <w:tab/>
        </w:r>
        <w:r w:rsidR="00B75E1B">
          <w:rPr>
            <w:noProof/>
            <w:webHidden/>
          </w:rPr>
          <w:fldChar w:fldCharType="begin"/>
        </w:r>
        <w:r w:rsidR="00B75E1B">
          <w:rPr>
            <w:noProof/>
            <w:webHidden/>
          </w:rPr>
          <w:instrText xml:space="preserve"> PAGEREF _Toc396989196 \h </w:instrText>
        </w:r>
        <w:r w:rsidR="00B75E1B">
          <w:rPr>
            <w:noProof/>
            <w:webHidden/>
          </w:rPr>
        </w:r>
        <w:r w:rsidR="00B75E1B">
          <w:rPr>
            <w:noProof/>
            <w:webHidden/>
          </w:rPr>
          <w:fldChar w:fldCharType="separate"/>
        </w:r>
        <w:r w:rsidR="00B75E1B">
          <w:rPr>
            <w:noProof/>
            <w:webHidden/>
          </w:rPr>
          <w:t>48</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97" w:history="1">
        <w:r w:rsidR="00B75E1B" w:rsidRPr="009B34D1">
          <w:rPr>
            <w:rStyle w:val="Hyperlink"/>
            <w:noProof/>
            <w14:scene3d>
              <w14:camera w14:prst="orthographicFront"/>
              <w14:lightRig w14:rig="threePt" w14:dir="t">
                <w14:rot w14:lat="0" w14:lon="0" w14:rev="0"/>
              </w14:lightRig>
            </w14:scene3d>
          </w:rPr>
          <w:t>2.27.1</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Aggregates</w:t>
        </w:r>
        <w:r w:rsidR="00B75E1B">
          <w:rPr>
            <w:noProof/>
            <w:webHidden/>
          </w:rPr>
          <w:tab/>
        </w:r>
        <w:r w:rsidR="00B75E1B">
          <w:rPr>
            <w:noProof/>
            <w:webHidden/>
          </w:rPr>
          <w:fldChar w:fldCharType="begin"/>
        </w:r>
        <w:r w:rsidR="00B75E1B">
          <w:rPr>
            <w:noProof/>
            <w:webHidden/>
          </w:rPr>
          <w:instrText xml:space="preserve"> PAGEREF _Toc396989197 \h </w:instrText>
        </w:r>
        <w:r w:rsidR="00B75E1B">
          <w:rPr>
            <w:noProof/>
            <w:webHidden/>
          </w:rPr>
        </w:r>
        <w:r w:rsidR="00B75E1B">
          <w:rPr>
            <w:noProof/>
            <w:webHidden/>
          </w:rPr>
          <w:fldChar w:fldCharType="separate"/>
        </w:r>
        <w:r w:rsidR="00B75E1B">
          <w:rPr>
            <w:noProof/>
            <w:webHidden/>
          </w:rPr>
          <w:t>49</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98" w:history="1">
        <w:r w:rsidR="00B75E1B" w:rsidRPr="009B34D1">
          <w:rPr>
            <w:rStyle w:val="Hyperlink"/>
            <w:noProof/>
            <w14:scene3d>
              <w14:camera w14:prst="orthographicFront"/>
              <w14:lightRig w14:rig="threePt" w14:dir="t">
                <w14:rot w14:lat="0" w14:lon="0" w14:rev="0"/>
              </w14:lightRig>
            </w14:scene3d>
          </w:rPr>
          <w:t>2.27.2</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Splitting of Losses</w:t>
        </w:r>
        <w:r w:rsidR="00B75E1B">
          <w:rPr>
            <w:noProof/>
            <w:webHidden/>
          </w:rPr>
          <w:tab/>
        </w:r>
        <w:r w:rsidR="00B75E1B">
          <w:rPr>
            <w:noProof/>
            <w:webHidden/>
          </w:rPr>
          <w:fldChar w:fldCharType="begin"/>
        </w:r>
        <w:r w:rsidR="00B75E1B">
          <w:rPr>
            <w:noProof/>
            <w:webHidden/>
          </w:rPr>
          <w:instrText xml:space="preserve"> PAGEREF _Toc396989198 \h </w:instrText>
        </w:r>
        <w:r w:rsidR="00B75E1B">
          <w:rPr>
            <w:noProof/>
            <w:webHidden/>
          </w:rPr>
        </w:r>
        <w:r w:rsidR="00B75E1B">
          <w:rPr>
            <w:noProof/>
            <w:webHidden/>
          </w:rPr>
          <w:fldChar w:fldCharType="separate"/>
        </w:r>
        <w:r w:rsidR="00B75E1B">
          <w:rPr>
            <w:noProof/>
            <w:webHidden/>
          </w:rPr>
          <w:t>49</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199" w:history="1">
        <w:r w:rsidR="00B75E1B" w:rsidRPr="009B34D1">
          <w:rPr>
            <w:rStyle w:val="Hyperlink"/>
            <w:noProof/>
            <w14:scene3d>
              <w14:camera w14:prst="orthographicFront"/>
              <w14:lightRig w14:rig="threePt" w14:dir="t">
                <w14:rot w14:lat="0" w14:lon="0" w14:rev="0"/>
              </w14:lightRig>
            </w14:scene3d>
          </w:rPr>
          <w:t>2.27.3</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Non Cash Settlements</w:t>
        </w:r>
        <w:r w:rsidR="00B75E1B">
          <w:rPr>
            <w:noProof/>
            <w:webHidden/>
          </w:rPr>
          <w:tab/>
        </w:r>
        <w:r w:rsidR="00B75E1B">
          <w:rPr>
            <w:noProof/>
            <w:webHidden/>
          </w:rPr>
          <w:fldChar w:fldCharType="begin"/>
        </w:r>
        <w:r w:rsidR="00B75E1B">
          <w:rPr>
            <w:noProof/>
            <w:webHidden/>
          </w:rPr>
          <w:instrText xml:space="preserve"> PAGEREF _Toc396989199 \h </w:instrText>
        </w:r>
        <w:r w:rsidR="00B75E1B">
          <w:rPr>
            <w:noProof/>
            <w:webHidden/>
          </w:rPr>
        </w:r>
        <w:r w:rsidR="00B75E1B">
          <w:rPr>
            <w:noProof/>
            <w:webHidden/>
          </w:rPr>
          <w:fldChar w:fldCharType="separate"/>
        </w:r>
        <w:r w:rsidR="00B75E1B">
          <w:rPr>
            <w:noProof/>
            <w:webHidden/>
          </w:rPr>
          <w:t>50</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200" w:history="1">
        <w:r w:rsidR="00B75E1B" w:rsidRPr="009B34D1">
          <w:rPr>
            <w:rStyle w:val="Hyperlink"/>
            <w:noProof/>
          </w:rPr>
          <w:t>2.28</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Partial Markets</w:t>
        </w:r>
        <w:r w:rsidR="00B75E1B">
          <w:rPr>
            <w:noProof/>
            <w:webHidden/>
          </w:rPr>
          <w:tab/>
        </w:r>
        <w:r w:rsidR="00B75E1B">
          <w:rPr>
            <w:noProof/>
            <w:webHidden/>
          </w:rPr>
          <w:fldChar w:fldCharType="begin"/>
        </w:r>
        <w:r w:rsidR="00B75E1B">
          <w:rPr>
            <w:noProof/>
            <w:webHidden/>
          </w:rPr>
          <w:instrText xml:space="preserve"> PAGEREF _Toc396989200 \h </w:instrText>
        </w:r>
        <w:r w:rsidR="00B75E1B">
          <w:rPr>
            <w:noProof/>
            <w:webHidden/>
          </w:rPr>
        </w:r>
        <w:r w:rsidR="00B75E1B">
          <w:rPr>
            <w:noProof/>
            <w:webHidden/>
          </w:rPr>
          <w:fldChar w:fldCharType="separate"/>
        </w:r>
        <w:r w:rsidR="00B75E1B">
          <w:rPr>
            <w:noProof/>
            <w:webHidden/>
          </w:rPr>
          <w:t>50</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01" w:history="1">
        <w:r w:rsidR="00B75E1B" w:rsidRPr="009B34D1">
          <w:rPr>
            <w:rStyle w:val="Hyperlink"/>
            <w:noProof/>
            <w14:scene3d>
              <w14:camera w14:prst="orthographicFront"/>
              <w14:lightRig w14:rig="threePt" w14:dir="t">
                <w14:rot w14:lat="0" w14:lon="0" w14:rev="0"/>
              </w14:lightRig>
            </w14:scene3d>
          </w:rPr>
          <w:t>2.28.1</w:t>
        </w:r>
        <w:r w:rsidR="00B75E1B">
          <w:rPr>
            <w:rFonts w:asciiTheme="minorHAnsi" w:eastAsiaTheme="minorEastAsia" w:hAnsiTheme="minorHAnsi" w:cstheme="minorBidi"/>
            <w:noProof/>
            <w:sz w:val="22"/>
            <w:szCs w:val="22"/>
            <w:lang w:eastAsia="en-GB"/>
          </w:rPr>
          <w:tab/>
        </w:r>
        <w:r w:rsidR="00B75E1B" w:rsidRPr="009B34D1">
          <w:rPr>
            <w:rStyle w:val="Hyperlink"/>
            <w:rFonts w:cs="Arial"/>
            <w:noProof/>
          </w:rPr>
          <w:t>Coupled Claims - Lead Agreement Party Reserves (Claims Created Prior to May 2007)</w:t>
        </w:r>
        <w:r w:rsidR="00B75E1B">
          <w:rPr>
            <w:noProof/>
            <w:webHidden/>
          </w:rPr>
          <w:tab/>
        </w:r>
        <w:r w:rsidR="00B75E1B">
          <w:rPr>
            <w:noProof/>
            <w:webHidden/>
          </w:rPr>
          <w:fldChar w:fldCharType="begin"/>
        </w:r>
        <w:r w:rsidR="00B75E1B">
          <w:rPr>
            <w:noProof/>
            <w:webHidden/>
          </w:rPr>
          <w:instrText xml:space="preserve"> PAGEREF _Toc396989201 \h </w:instrText>
        </w:r>
        <w:r w:rsidR="00B75E1B">
          <w:rPr>
            <w:noProof/>
            <w:webHidden/>
          </w:rPr>
        </w:r>
        <w:r w:rsidR="00B75E1B">
          <w:rPr>
            <w:noProof/>
            <w:webHidden/>
          </w:rPr>
          <w:fldChar w:fldCharType="separate"/>
        </w:r>
        <w:r w:rsidR="00B75E1B">
          <w:rPr>
            <w:noProof/>
            <w:webHidden/>
          </w:rPr>
          <w:t>50</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202" w:history="1">
        <w:r w:rsidR="00B75E1B" w:rsidRPr="009B34D1">
          <w:rPr>
            <w:rStyle w:val="Hyperlink"/>
            <w:noProof/>
          </w:rPr>
          <w:t>2.29</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Blocks</w:t>
        </w:r>
        <w:r w:rsidR="00B75E1B">
          <w:rPr>
            <w:noProof/>
            <w:webHidden/>
          </w:rPr>
          <w:tab/>
        </w:r>
        <w:r w:rsidR="00B75E1B">
          <w:rPr>
            <w:noProof/>
            <w:webHidden/>
          </w:rPr>
          <w:fldChar w:fldCharType="begin"/>
        </w:r>
        <w:r w:rsidR="00B75E1B">
          <w:rPr>
            <w:noProof/>
            <w:webHidden/>
          </w:rPr>
          <w:instrText xml:space="preserve"> PAGEREF _Toc396989202 \h </w:instrText>
        </w:r>
        <w:r w:rsidR="00B75E1B">
          <w:rPr>
            <w:noProof/>
            <w:webHidden/>
          </w:rPr>
        </w:r>
        <w:r w:rsidR="00B75E1B">
          <w:rPr>
            <w:noProof/>
            <w:webHidden/>
          </w:rPr>
          <w:fldChar w:fldCharType="separate"/>
        </w:r>
        <w:r w:rsidR="00B75E1B">
          <w:rPr>
            <w:noProof/>
            <w:webHidden/>
          </w:rPr>
          <w:t>51</w:t>
        </w:r>
        <w:r w:rsidR="00B75E1B">
          <w:rPr>
            <w:noProof/>
            <w:webHidden/>
          </w:rPr>
          <w:fldChar w:fldCharType="end"/>
        </w:r>
      </w:hyperlink>
    </w:p>
    <w:p w:rsidR="00B75E1B" w:rsidRDefault="00634191">
      <w:pPr>
        <w:pStyle w:val="TOC2"/>
        <w:tabs>
          <w:tab w:val="left" w:pos="800"/>
          <w:tab w:val="right" w:leader="dot" w:pos="9019"/>
        </w:tabs>
        <w:rPr>
          <w:rFonts w:asciiTheme="minorHAnsi" w:eastAsiaTheme="minorEastAsia" w:hAnsiTheme="minorHAnsi" w:cstheme="minorBidi"/>
          <w:b w:val="0"/>
          <w:bCs w:val="0"/>
          <w:noProof/>
          <w:sz w:val="22"/>
          <w:szCs w:val="22"/>
          <w:lang w:eastAsia="en-GB"/>
        </w:rPr>
      </w:pPr>
      <w:hyperlink w:anchor="_Toc396989203" w:history="1">
        <w:r w:rsidR="00B75E1B" w:rsidRPr="009B34D1">
          <w:rPr>
            <w:rStyle w:val="Hyperlink"/>
            <w:noProof/>
          </w:rPr>
          <w:t>2.30</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Claims Seen But Not Entered By XCS</w:t>
        </w:r>
        <w:r w:rsidR="00B75E1B">
          <w:rPr>
            <w:noProof/>
            <w:webHidden/>
          </w:rPr>
          <w:tab/>
        </w:r>
        <w:r w:rsidR="00B75E1B">
          <w:rPr>
            <w:noProof/>
            <w:webHidden/>
          </w:rPr>
          <w:fldChar w:fldCharType="begin"/>
        </w:r>
        <w:r w:rsidR="00B75E1B">
          <w:rPr>
            <w:noProof/>
            <w:webHidden/>
          </w:rPr>
          <w:instrText xml:space="preserve"> PAGEREF _Toc396989203 \h </w:instrText>
        </w:r>
        <w:r w:rsidR="00B75E1B">
          <w:rPr>
            <w:noProof/>
            <w:webHidden/>
          </w:rPr>
        </w:r>
        <w:r w:rsidR="00B75E1B">
          <w:rPr>
            <w:noProof/>
            <w:webHidden/>
          </w:rPr>
          <w:fldChar w:fldCharType="separate"/>
        </w:r>
        <w:r w:rsidR="00B75E1B">
          <w:rPr>
            <w:noProof/>
            <w:webHidden/>
          </w:rPr>
          <w:t>51</w:t>
        </w:r>
        <w:r w:rsidR="00B75E1B">
          <w:rPr>
            <w:noProof/>
            <w:webHidden/>
          </w:rPr>
          <w:fldChar w:fldCharType="end"/>
        </w:r>
      </w:hyperlink>
    </w:p>
    <w:p w:rsidR="00B75E1B" w:rsidRDefault="00634191">
      <w:pPr>
        <w:pStyle w:val="TOC1"/>
        <w:tabs>
          <w:tab w:val="left" w:pos="400"/>
          <w:tab w:val="right" w:leader="dot" w:pos="9019"/>
        </w:tabs>
        <w:rPr>
          <w:rFonts w:asciiTheme="minorHAnsi" w:eastAsiaTheme="minorEastAsia" w:hAnsiTheme="minorHAnsi" w:cstheme="minorBidi"/>
          <w:b w:val="0"/>
          <w:bCs w:val="0"/>
          <w:caps w:val="0"/>
          <w:noProof/>
          <w:sz w:val="22"/>
          <w:szCs w:val="22"/>
          <w:lang w:eastAsia="en-GB"/>
        </w:rPr>
      </w:pPr>
      <w:hyperlink w:anchor="_Toc396989204" w:history="1">
        <w:r w:rsidR="00B75E1B" w:rsidRPr="009B34D1">
          <w:rPr>
            <w:rStyle w:val="Hyperlink"/>
            <w:noProof/>
          </w:rPr>
          <w:t>3.</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noProof/>
          </w:rPr>
          <w:t>Legacy claims &amp; scanning process</w:t>
        </w:r>
        <w:r w:rsidR="00B75E1B">
          <w:rPr>
            <w:noProof/>
            <w:webHidden/>
          </w:rPr>
          <w:tab/>
        </w:r>
        <w:r w:rsidR="00B75E1B">
          <w:rPr>
            <w:noProof/>
            <w:webHidden/>
          </w:rPr>
          <w:fldChar w:fldCharType="begin"/>
        </w:r>
        <w:r w:rsidR="00B75E1B">
          <w:rPr>
            <w:noProof/>
            <w:webHidden/>
          </w:rPr>
          <w:instrText xml:space="preserve"> PAGEREF _Toc396989204 \h </w:instrText>
        </w:r>
        <w:r w:rsidR="00B75E1B">
          <w:rPr>
            <w:noProof/>
            <w:webHidden/>
          </w:rPr>
        </w:r>
        <w:r w:rsidR="00B75E1B">
          <w:rPr>
            <w:noProof/>
            <w:webHidden/>
          </w:rPr>
          <w:fldChar w:fldCharType="separate"/>
        </w:r>
        <w:r w:rsidR="00B75E1B">
          <w:rPr>
            <w:noProof/>
            <w:webHidden/>
          </w:rPr>
          <w:t>52</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05" w:history="1">
        <w:r w:rsidR="00B75E1B" w:rsidRPr="009B34D1">
          <w:rPr>
            <w:rStyle w:val="Hyperlink"/>
            <w:noProof/>
            <w14:scene3d>
              <w14:camera w14:prst="orthographicFront"/>
              <w14:lightRig w14:rig="threePt" w14:dir="t">
                <w14:rot w14:lat="0" w14:lon="0" w14:rev="0"/>
              </w14:lightRig>
            </w14:scene3d>
          </w:rPr>
          <w:t>3.1.1</w:t>
        </w:r>
        <w:r w:rsidR="00B75E1B">
          <w:rPr>
            <w:rFonts w:asciiTheme="minorHAnsi" w:eastAsiaTheme="minorEastAsia" w:hAnsiTheme="minorHAnsi" w:cstheme="minorBidi"/>
            <w:noProof/>
            <w:sz w:val="22"/>
            <w:szCs w:val="22"/>
            <w:lang w:eastAsia="en-GB"/>
          </w:rPr>
          <w:tab/>
        </w:r>
        <w:r w:rsidR="00B75E1B" w:rsidRPr="009B34D1">
          <w:rPr>
            <w:rStyle w:val="Hyperlink"/>
            <w:noProof/>
          </w:rPr>
          <w:t>Paper to ECF Legacy process for singletons</w:t>
        </w:r>
        <w:r w:rsidR="00B75E1B">
          <w:rPr>
            <w:noProof/>
            <w:webHidden/>
          </w:rPr>
          <w:tab/>
        </w:r>
        <w:r w:rsidR="00B75E1B">
          <w:rPr>
            <w:noProof/>
            <w:webHidden/>
          </w:rPr>
          <w:fldChar w:fldCharType="begin"/>
        </w:r>
        <w:r w:rsidR="00B75E1B">
          <w:rPr>
            <w:noProof/>
            <w:webHidden/>
          </w:rPr>
          <w:instrText xml:space="preserve"> PAGEREF _Toc396989205 \h </w:instrText>
        </w:r>
        <w:r w:rsidR="00B75E1B">
          <w:rPr>
            <w:noProof/>
            <w:webHidden/>
          </w:rPr>
        </w:r>
        <w:r w:rsidR="00B75E1B">
          <w:rPr>
            <w:noProof/>
            <w:webHidden/>
          </w:rPr>
          <w:fldChar w:fldCharType="separate"/>
        </w:r>
        <w:r w:rsidR="00B75E1B">
          <w:rPr>
            <w:noProof/>
            <w:webHidden/>
          </w:rPr>
          <w:t>52</w:t>
        </w:r>
        <w:r w:rsidR="00B75E1B">
          <w:rPr>
            <w:noProof/>
            <w:webHidden/>
          </w:rPr>
          <w:fldChar w:fldCharType="end"/>
        </w:r>
      </w:hyperlink>
    </w:p>
    <w:p w:rsidR="00B75E1B" w:rsidRDefault="00634191">
      <w:pPr>
        <w:pStyle w:val="TOC1"/>
        <w:tabs>
          <w:tab w:val="left" w:pos="400"/>
          <w:tab w:val="right" w:leader="dot" w:pos="9019"/>
        </w:tabs>
        <w:rPr>
          <w:rFonts w:asciiTheme="minorHAnsi" w:eastAsiaTheme="minorEastAsia" w:hAnsiTheme="minorHAnsi" w:cstheme="minorBidi"/>
          <w:b w:val="0"/>
          <w:bCs w:val="0"/>
          <w:caps w:val="0"/>
          <w:noProof/>
          <w:sz w:val="22"/>
          <w:szCs w:val="22"/>
          <w:lang w:eastAsia="en-GB"/>
        </w:rPr>
      </w:pPr>
      <w:hyperlink w:anchor="_Toc396989206" w:history="1">
        <w:r w:rsidR="00B75E1B" w:rsidRPr="009B34D1">
          <w:rPr>
            <w:rStyle w:val="Hyperlink"/>
            <w:noProof/>
          </w:rPr>
          <w:t>4.</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noProof/>
          </w:rPr>
          <w:t>Other exceptions</w:t>
        </w:r>
        <w:r w:rsidR="00B75E1B">
          <w:rPr>
            <w:noProof/>
            <w:webHidden/>
          </w:rPr>
          <w:tab/>
        </w:r>
        <w:r w:rsidR="00B75E1B">
          <w:rPr>
            <w:noProof/>
            <w:webHidden/>
          </w:rPr>
          <w:fldChar w:fldCharType="begin"/>
        </w:r>
        <w:r w:rsidR="00B75E1B">
          <w:rPr>
            <w:noProof/>
            <w:webHidden/>
          </w:rPr>
          <w:instrText xml:space="preserve"> PAGEREF _Toc396989206 \h </w:instrText>
        </w:r>
        <w:r w:rsidR="00B75E1B">
          <w:rPr>
            <w:noProof/>
            <w:webHidden/>
          </w:rPr>
        </w:r>
        <w:r w:rsidR="00B75E1B">
          <w:rPr>
            <w:noProof/>
            <w:webHidden/>
          </w:rPr>
          <w:fldChar w:fldCharType="separate"/>
        </w:r>
        <w:r w:rsidR="00B75E1B">
          <w:rPr>
            <w:noProof/>
            <w:webHidden/>
          </w:rPr>
          <w:t>53</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07" w:history="1">
        <w:r w:rsidR="00B75E1B" w:rsidRPr="009B34D1">
          <w:rPr>
            <w:rStyle w:val="Hyperlink"/>
            <w:noProof/>
          </w:rPr>
          <w:t>4.1</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Lloyd’s Consortium Syndicates</w:t>
        </w:r>
        <w:r w:rsidR="00B75E1B">
          <w:rPr>
            <w:noProof/>
            <w:webHidden/>
          </w:rPr>
          <w:tab/>
        </w:r>
        <w:r w:rsidR="00B75E1B">
          <w:rPr>
            <w:noProof/>
            <w:webHidden/>
          </w:rPr>
          <w:fldChar w:fldCharType="begin"/>
        </w:r>
        <w:r w:rsidR="00B75E1B">
          <w:rPr>
            <w:noProof/>
            <w:webHidden/>
          </w:rPr>
          <w:instrText xml:space="preserve"> PAGEREF _Toc396989207 \h </w:instrText>
        </w:r>
        <w:r w:rsidR="00B75E1B">
          <w:rPr>
            <w:noProof/>
            <w:webHidden/>
          </w:rPr>
        </w:r>
        <w:r w:rsidR="00B75E1B">
          <w:rPr>
            <w:noProof/>
            <w:webHidden/>
          </w:rPr>
          <w:fldChar w:fldCharType="separate"/>
        </w:r>
        <w:r w:rsidR="00B75E1B">
          <w:rPr>
            <w:noProof/>
            <w:webHidden/>
          </w:rPr>
          <w:t>53</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08" w:history="1">
        <w:r w:rsidR="00B75E1B" w:rsidRPr="009B34D1">
          <w:rPr>
            <w:rStyle w:val="Hyperlink"/>
            <w:noProof/>
          </w:rPr>
          <w:t>4.2</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IMR Security Model enhancements</w:t>
        </w:r>
        <w:r w:rsidR="00B75E1B">
          <w:rPr>
            <w:noProof/>
            <w:webHidden/>
          </w:rPr>
          <w:tab/>
        </w:r>
        <w:r w:rsidR="00B75E1B">
          <w:rPr>
            <w:noProof/>
            <w:webHidden/>
          </w:rPr>
          <w:fldChar w:fldCharType="begin"/>
        </w:r>
        <w:r w:rsidR="00B75E1B">
          <w:rPr>
            <w:noProof/>
            <w:webHidden/>
          </w:rPr>
          <w:instrText xml:space="preserve"> PAGEREF _Toc396989208 \h </w:instrText>
        </w:r>
        <w:r w:rsidR="00B75E1B">
          <w:rPr>
            <w:noProof/>
            <w:webHidden/>
          </w:rPr>
        </w:r>
        <w:r w:rsidR="00B75E1B">
          <w:rPr>
            <w:noProof/>
            <w:webHidden/>
          </w:rPr>
          <w:fldChar w:fldCharType="separate"/>
        </w:r>
        <w:r w:rsidR="00B75E1B">
          <w:rPr>
            <w:noProof/>
            <w:webHidden/>
          </w:rPr>
          <w:t>53</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09" w:history="1">
        <w:r w:rsidR="00B75E1B" w:rsidRPr="009B34D1">
          <w:rPr>
            <w:rStyle w:val="Hyperlink"/>
            <w:noProof/>
          </w:rPr>
          <w:t>4.3</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Mid-Term Broker Changes (MTBC)</w:t>
        </w:r>
        <w:r w:rsidR="00B75E1B">
          <w:rPr>
            <w:noProof/>
            <w:webHidden/>
          </w:rPr>
          <w:tab/>
        </w:r>
        <w:r w:rsidR="00B75E1B">
          <w:rPr>
            <w:noProof/>
            <w:webHidden/>
          </w:rPr>
          <w:fldChar w:fldCharType="begin"/>
        </w:r>
        <w:r w:rsidR="00B75E1B">
          <w:rPr>
            <w:noProof/>
            <w:webHidden/>
          </w:rPr>
          <w:instrText xml:space="preserve"> PAGEREF _Toc396989209 \h </w:instrText>
        </w:r>
        <w:r w:rsidR="00B75E1B">
          <w:rPr>
            <w:noProof/>
            <w:webHidden/>
          </w:rPr>
        </w:r>
        <w:r w:rsidR="00B75E1B">
          <w:rPr>
            <w:noProof/>
            <w:webHidden/>
          </w:rPr>
          <w:fldChar w:fldCharType="separate"/>
        </w:r>
        <w:r w:rsidR="00B75E1B">
          <w:rPr>
            <w:noProof/>
            <w:webHidden/>
          </w:rPr>
          <w:t>53</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10" w:history="1">
        <w:r w:rsidR="00B75E1B" w:rsidRPr="009B34D1">
          <w:rPr>
            <w:rStyle w:val="Hyperlink"/>
            <w:noProof/>
            <w14:scene3d>
              <w14:camera w14:prst="orthographicFront"/>
              <w14:lightRig w14:rig="threePt" w14:dir="t">
                <w14:rot w14:lat="0" w14:lon="0" w14:rev="0"/>
              </w14:lightRig>
            </w14:scene3d>
          </w:rPr>
          <w:t>4.3.1</w:t>
        </w:r>
        <w:r w:rsidR="00B75E1B">
          <w:rPr>
            <w:rFonts w:asciiTheme="minorHAnsi" w:eastAsiaTheme="minorEastAsia" w:hAnsiTheme="minorHAnsi" w:cstheme="minorBidi"/>
            <w:noProof/>
            <w:sz w:val="22"/>
            <w:szCs w:val="22"/>
            <w:lang w:eastAsia="en-GB"/>
          </w:rPr>
          <w:tab/>
        </w:r>
        <w:r w:rsidR="00B75E1B" w:rsidRPr="009B34D1">
          <w:rPr>
            <w:rStyle w:val="Hyperlink"/>
            <w:noProof/>
          </w:rPr>
          <w:t>Variations</w:t>
        </w:r>
        <w:r w:rsidR="00B75E1B">
          <w:rPr>
            <w:noProof/>
            <w:webHidden/>
          </w:rPr>
          <w:tab/>
        </w:r>
        <w:r w:rsidR="00B75E1B">
          <w:rPr>
            <w:noProof/>
            <w:webHidden/>
          </w:rPr>
          <w:fldChar w:fldCharType="begin"/>
        </w:r>
        <w:r w:rsidR="00B75E1B">
          <w:rPr>
            <w:noProof/>
            <w:webHidden/>
          </w:rPr>
          <w:instrText xml:space="preserve"> PAGEREF _Toc396989210 \h </w:instrText>
        </w:r>
        <w:r w:rsidR="00B75E1B">
          <w:rPr>
            <w:noProof/>
            <w:webHidden/>
          </w:rPr>
        </w:r>
        <w:r w:rsidR="00B75E1B">
          <w:rPr>
            <w:noProof/>
            <w:webHidden/>
          </w:rPr>
          <w:fldChar w:fldCharType="separate"/>
        </w:r>
        <w:r w:rsidR="00B75E1B">
          <w:rPr>
            <w:noProof/>
            <w:webHidden/>
          </w:rPr>
          <w:t>54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11" w:history="1">
        <w:r w:rsidR="00B75E1B" w:rsidRPr="009B34D1">
          <w:rPr>
            <w:rStyle w:val="Hyperlink"/>
            <w:noProof/>
            <w14:scene3d>
              <w14:camera w14:prst="orthographicFront"/>
              <w14:lightRig w14:rig="threePt" w14:dir="t">
                <w14:rot w14:lat="0" w14:lon="0" w14:rev="0"/>
              </w14:lightRig>
            </w14:scene3d>
          </w:rPr>
          <w:t>4.3.2</w:t>
        </w:r>
        <w:r w:rsidR="00B75E1B">
          <w:rPr>
            <w:rFonts w:asciiTheme="minorHAnsi" w:eastAsiaTheme="minorEastAsia" w:hAnsiTheme="minorHAnsi" w:cstheme="minorBidi"/>
            <w:noProof/>
            <w:sz w:val="22"/>
            <w:szCs w:val="22"/>
            <w:lang w:eastAsia="en-GB"/>
          </w:rPr>
          <w:tab/>
        </w:r>
        <w:r w:rsidR="00B75E1B" w:rsidRPr="009B34D1">
          <w:rPr>
            <w:rStyle w:val="Hyperlink"/>
            <w:noProof/>
          </w:rPr>
          <w:t>Ongoing responsibility for Existing Claims</w:t>
        </w:r>
        <w:r w:rsidR="00B75E1B">
          <w:rPr>
            <w:noProof/>
            <w:webHidden/>
          </w:rPr>
          <w:tab/>
        </w:r>
        <w:r w:rsidR="00B75E1B">
          <w:rPr>
            <w:noProof/>
            <w:webHidden/>
          </w:rPr>
          <w:fldChar w:fldCharType="begin"/>
        </w:r>
        <w:r w:rsidR="00B75E1B">
          <w:rPr>
            <w:noProof/>
            <w:webHidden/>
          </w:rPr>
          <w:instrText xml:space="preserve"> PAGEREF _Toc396989211 \h </w:instrText>
        </w:r>
        <w:r w:rsidR="00B75E1B">
          <w:rPr>
            <w:noProof/>
            <w:webHidden/>
          </w:rPr>
        </w:r>
        <w:r w:rsidR="00B75E1B">
          <w:rPr>
            <w:noProof/>
            <w:webHidden/>
          </w:rPr>
          <w:fldChar w:fldCharType="separate"/>
        </w:r>
        <w:r w:rsidR="00B75E1B">
          <w:rPr>
            <w:noProof/>
            <w:webHidden/>
          </w:rPr>
          <w:t>54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12" w:history="1">
        <w:r w:rsidR="00B75E1B" w:rsidRPr="009B34D1">
          <w:rPr>
            <w:rStyle w:val="Hyperlink"/>
            <w:noProof/>
            <w14:scene3d>
              <w14:camera w14:prst="orthographicFront"/>
              <w14:lightRig w14:rig="threePt" w14:dir="t">
                <w14:rot w14:lat="0" w14:lon="0" w14:rev="0"/>
              </w14:lightRig>
            </w14:scene3d>
          </w:rPr>
          <w:t>4.3.3</w:t>
        </w:r>
        <w:r w:rsidR="00B75E1B">
          <w:rPr>
            <w:rFonts w:asciiTheme="minorHAnsi" w:eastAsiaTheme="minorEastAsia" w:hAnsiTheme="minorHAnsi" w:cstheme="minorBidi"/>
            <w:noProof/>
            <w:sz w:val="22"/>
            <w:szCs w:val="22"/>
            <w:lang w:eastAsia="en-GB"/>
          </w:rPr>
          <w:tab/>
        </w:r>
        <w:r w:rsidR="00B75E1B" w:rsidRPr="009B34D1">
          <w:rPr>
            <w:rStyle w:val="Hyperlink"/>
            <w:noProof/>
          </w:rPr>
          <w:t>MTBC prior to 7</w:t>
        </w:r>
        <w:r w:rsidR="00B75E1B" w:rsidRPr="009B34D1">
          <w:rPr>
            <w:rStyle w:val="Hyperlink"/>
            <w:noProof/>
            <w:vertAlign w:val="superscript"/>
          </w:rPr>
          <w:t>th</w:t>
        </w:r>
        <w:r w:rsidR="00B75E1B" w:rsidRPr="009B34D1">
          <w:rPr>
            <w:rStyle w:val="Hyperlink"/>
            <w:noProof/>
          </w:rPr>
          <w:t xml:space="preserve"> December 2009</w:t>
        </w:r>
        <w:r w:rsidR="00B75E1B">
          <w:rPr>
            <w:noProof/>
            <w:webHidden/>
          </w:rPr>
          <w:tab/>
        </w:r>
        <w:r w:rsidR="00B75E1B">
          <w:rPr>
            <w:noProof/>
            <w:webHidden/>
          </w:rPr>
          <w:fldChar w:fldCharType="begin"/>
        </w:r>
        <w:r w:rsidR="00B75E1B">
          <w:rPr>
            <w:noProof/>
            <w:webHidden/>
          </w:rPr>
          <w:instrText xml:space="preserve"> PAGEREF _Toc396989212 \h </w:instrText>
        </w:r>
        <w:r w:rsidR="00B75E1B">
          <w:rPr>
            <w:noProof/>
            <w:webHidden/>
          </w:rPr>
        </w:r>
        <w:r w:rsidR="00B75E1B">
          <w:rPr>
            <w:noProof/>
            <w:webHidden/>
          </w:rPr>
          <w:fldChar w:fldCharType="separate"/>
        </w:r>
        <w:r w:rsidR="00B75E1B">
          <w:rPr>
            <w:noProof/>
            <w:webHidden/>
          </w:rPr>
          <w:t>54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13" w:history="1">
        <w:r w:rsidR="00B75E1B" w:rsidRPr="009B34D1">
          <w:rPr>
            <w:rStyle w:val="Hyperlink"/>
            <w:noProof/>
            <w14:scene3d>
              <w14:camera w14:prst="orthographicFront"/>
              <w14:lightRig w14:rig="threePt" w14:dir="t">
                <w14:rot w14:lat="0" w14:lon="0" w14:rev="0"/>
              </w14:lightRig>
            </w14:scene3d>
          </w:rPr>
          <w:t>4.3.4</w:t>
        </w:r>
        <w:r w:rsidR="00B75E1B">
          <w:rPr>
            <w:rFonts w:asciiTheme="minorHAnsi" w:eastAsiaTheme="minorEastAsia" w:hAnsiTheme="minorHAnsi" w:cstheme="minorBidi"/>
            <w:noProof/>
            <w:sz w:val="22"/>
            <w:szCs w:val="22"/>
            <w:lang w:eastAsia="en-GB"/>
          </w:rPr>
          <w:tab/>
        </w:r>
        <w:r w:rsidR="00B75E1B" w:rsidRPr="009B34D1">
          <w:rPr>
            <w:rStyle w:val="Hyperlink"/>
            <w:noProof/>
          </w:rPr>
          <w:t>Retention of UMR</w:t>
        </w:r>
        <w:r w:rsidR="00B75E1B">
          <w:rPr>
            <w:noProof/>
            <w:webHidden/>
          </w:rPr>
          <w:tab/>
        </w:r>
        <w:r w:rsidR="00B75E1B">
          <w:rPr>
            <w:noProof/>
            <w:webHidden/>
          </w:rPr>
          <w:fldChar w:fldCharType="begin"/>
        </w:r>
        <w:r w:rsidR="00B75E1B">
          <w:rPr>
            <w:noProof/>
            <w:webHidden/>
          </w:rPr>
          <w:instrText xml:space="preserve"> PAGEREF _Toc396989213 \h </w:instrText>
        </w:r>
        <w:r w:rsidR="00B75E1B">
          <w:rPr>
            <w:noProof/>
            <w:webHidden/>
          </w:rPr>
        </w:r>
        <w:r w:rsidR="00B75E1B">
          <w:rPr>
            <w:noProof/>
            <w:webHidden/>
          </w:rPr>
          <w:fldChar w:fldCharType="separate"/>
        </w:r>
        <w:r w:rsidR="00B75E1B">
          <w:rPr>
            <w:noProof/>
            <w:webHidden/>
          </w:rPr>
          <w:t>54</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14" w:history="1">
        <w:r w:rsidR="00B75E1B" w:rsidRPr="009B34D1">
          <w:rPr>
            <w:rStyle w:val="Hyperlink"/>
            <w:noProof/>
          </w:rPr>
          <w:t>4.4</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Mid-Term Market Changes (MTMC)</w:t>
        </w:r>
        <w:r w:rsidR="00B75E1B">
          <w:rPr>
            <w:noProof/>
            <w:webHidden/>
          </w:rPr>
          <w:tab/>
        </w:r>
        <w:r w:rsidR="00B75E1B">
          <w:rPr>
            <w:noProof/>
            <w:webHidden/>
          </w:rPr>
          <w:fldChar w:fldCharType="begin"/>
        </w:r>
        <w:r w:rsidR="00B75E1B">
          <w:rPr>
            <w:noProof/>
            <w:webHidden/>
          </w:rPr>
          <w:instrText xml:space="preserve"> PAGEREF _Toc396989214 \h </w:instrText>
        </w:r>
        <w:r w:rsidR="00B75E1B">
          <w:rPr>
            <w:noProof/>
            <w:webHidden/>
          </w:rPr>
        </w:r>
        <w:r w:rsidR="00B75E1B">
          <w:rPr>
            <w:noProof/>
            <w:webHidden/>
          </w:rPr>
          <w:fldChar w:fldCharType="separate"/>
        </w:r>
        <w:r w:rsidR="00B75E1B">
          <w:rPr>
            <w:noProof/>
            <w:webHidden/>
          </w:rPr>
          <w:t>54</w:t>
        </w:r>
        <w:r w:rsidR="00B75E1B">
          <w:rPr>
            <w:noProof/>
            <w:webHidden/>
          </w:rPr>
          <w:fldChar w:fldCharType="end"/>
        </w:r>
      </w:hyperlink>
    </w:p>
    <w:p w:rsidR="00B75E1B" w:rsidRDefault="00634191">
      <w:pPr>
        <w:pStyle w:val="TOC1"/>
        <w:tabs>
          <w:tab w:val="left" w:pos="400"/>
          <w:tab w:val="right" w:leader="dot" w:pos="9019"/>
        </w:tabs>
        <w:rPr>
          <w:rFonts w:asciiTheme="minorHAnsi" w:eastAsiaTheme="minorEastAsia" w:hAnsiTheme="minorHAnsi" w:cstheme="minorBidi"/>
          <w:b w:val="0"/>
          <w:bCs w:val="0"/>
          <w:caps w:val="0"/>
          <w:noProof/>
          <w:sz w:val="22"/>
          <w:szCs w:val="22"/>
          <w:lang w:eastAsia="en-GB"/>
        </w:rPr>
      </w:pPr>
      <w:hyperlink w:anchor="_Toc396989215" w:history="1">
        <w:r w:rsidR="00B75E1B" w:rsidRPr="009B34D1">
          <w:rPr>
            <w:rStyle w:val="Hyperlink"/>
            <w:noProof/>
          </w:rPr>
          <w:t>5.</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noProof/>
          </w:rPr>
          <w:t>Third Party Access</w:t>
        </w:r>
        <w:r w:rsidR="00B75E1B">
          <w:rPr>
            <w:noProof/>
            <w:webHidden/>
          </w:rPr>
          <w:tab/>
        </w:r>
        <w:r w:rsidR="00B75E1B">
          <w:rPr>
            <w:noProof/>
            <w:webHidden/>
          </w:rPr>
          <w:fldChar w:fldCharType="begin"/>
        </w:r>
        <w:r w:rsidR="00B75E1B">
          <w:rPr>
            <w:noProof/>
            <w:webHidden/>
          </w:rPr>
          <w:instrText xml:space="preserve"> PAGEREF _Toc396989215 \h </w:instrText>
        </w:r>
        <w:r w:rsidR="00B75E1B">
          <w:rPr>
            <w:noProof/>
            <w:webHidden/>
          </w:rPr>
        </w:r>
        <w:r w:rsidR="00B75E1B">
          <w:rPr>
            <w:noProof/>
            <w:webHidden/>
          </w:rPr>
          <w:fldChar w:fldCharType="separate"/>
        </w:r>
        <w:r w:rsidR="00B75E1B">
          <w:rPr>
            <w:noProof/>
            <w:webHidden/>
          </w:rPr>
          <w:t>54</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16" w:history="1">
        <w:r w:rsidR="00B75E1B" w:rsidRPr="009B34D1">
          <w:rPr>
            <w:rStyle w:val="Hyperlink"/>
            <w:noProof/>
            <w14:scene3d>
              <w14:camera w14:prst="orthographicFront"/>
              <w14:lightRig w14:rig="threePt" w14:dir="t">
                <w14:rot w14:lat="0" w14:lon="0" w14:rev="0"/>
              </w14:lightRig>
            </w14:scene3d>
          </w:rPr>
          <w:t>5.1.1</w:t>
        </w:r>
        <w:r w:rsidR="00B75E1B">
          <w:rPr>
            <w:rFonts w:asciiTheme="minorHAnsi" w:eastAsiaTheme="minorEastAsia" w:hAnsiTheme="minorHAnsi" w:cstheme="minorBidi"/>
            <w:noProof/>
            <w:sz w:val="22"/>
            <w:szCs w:val="22"/>
            <w:lang w:eastAsia="en-GB"/>
          </w:rPr>
          <w:tab/>
        </w:r>
        <w:r w:rsidR="00B75E1B" w:rsidRPr="009B34D1">
          <w:rPr>
            <w:rStyle w:val="Hyperlink"/>
            <w:noProof/>
          </w:rPr>
          <w:t>Run-off organisations</w:t>
        </w:r>
        <w:r w:rsidR="00B75E1B">
          <w:rPr>
            <w:noProof/>
            <w:webHidden/>
          </w:rPr>
          <w:tab/>
        </w:r>
        <w:r w:rsidR="00B75E1B">
          <w:rPr>
            <w:noProof/>
            <w:webHidden/>
          </w:rPr>
          <w:fldChar w:fldCharType="begin"/>
        </w:r>
        <w:r w:rsidR="00B75E1B">
          <w:rPr>
            <w:noProof/>
            <w:webHidden/>
          </w:rPr>
          <w:instrText xml:space="preserve"> PAGEREF _Toc396989216 \h </w:instrText>
        </w:r>
        <w:r w:rsidR="00B75E1B">
          <w:rPr>
            <w:noProof/>
            <w:webHidden/>
          </w:rPr>
        </w:r>
        <w:r w:rsidR="00B75E1B">
          <w:rPr>
            <w:noProof/>
            <w:webHidden/>
          </w:rPr>
          <w:fldChar w:fldCharType="separate"/>
        </w:r>
        <w:r w:rsidR="00B75E1B">
          <w:rPr>
            <w:noProof/>
            <w:webHidden/>
          </w:rPr>
          <w:t>55</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17" w:history="1">
        <w:r w:rsidR="00B75E1B" w:rsidRPr="009B34D1">
          <w:rPr>
            <w:rStyle w:val="Hyperlink"/>
            <w:noProof/>
            <w14:scene3d>
              <w14:camera w14:prst="orthographicFront"/>
              <w14:lightRig w14:rig="threePt" w14:dir="t">
                <w14:rot w14:lat="0" w14:lon="0" w14:rev="0"/>
              </w14:lightRig>
            </w14:scene3d>
          </w:rPr>
          <w:t>5.1.2</w:t>
        </w:r>
        <w:r w:rsidR="00B75E1B">
          <w:rPr>
            <w:rFonts w:asciiTheme="minorHAnsi" w:eastAsiaTheme="minorEastAsia" w:hAnsiTheme="minorHAnsi" w:cstheme="minorBidi"/>
            <w:noProof/>
            <w:sz w:val="22"/>
            <w:szCs w:val="22"/>
            <w:lang w:eastAsia="en-GB"/>
          </w:rPr>
          <w:tab/>
        </w:r>
        <w:r w:rsidR="00B75E1B" w:rsidRPr="009B34D1">
          <w:rPr>
            <w:rStyle w:val="Hyperlink"/>
            <w:noProof/>
          </w:rPr>
          <w:t>Deletion of Broker UCR</w:t>
        </w:r>
        <w:r w:rsidR="00B75E1B">
          <w:rPr>
            <w:noProof/>
            <w:webHidden/>
          </w:rPr>
          <w:tab/>
        </w:r>
        <w:r w:rsidR="00B75E1B">
          <w:rPr>
            <w:noProof/>
            <w:webHidden/>
          </w:rPr>
          <w:fldChar w:fldCharType="begin"/>
        </w:r>
        <w:r w:rsidR="00B75E1B">
          <w:rPr>
            <w:noProof/>
            <w:webHidden/>
          </w:rPr>
          <w:instrText xml:space="preserve"> PAGEREF _Toc396989217 \h </w:instrText>
        </w:r>
        <w:r w:rsidR="00B75E1B">
          <w:rPr>
            <w:noProof/>
            <w:webHidden/>
          </w:rPr>
        </w:r>
        <w:r w:rsidR="00B75E1B">
          <w:rPr>
            <w:noProof/>
            <w:webHidden/>
          </w:rPr>
          <w:fldChar w:fldCharType="separate"/>
        </w:r>
        <w:r w:rsidR="00B75E1B">
          <w:rPr>
            <w:noProof/>
            <w:webHidden/>
          </w:rPr>
          <w:t>55</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18" w:history="1">
        <w:r w:rsidR="00B75E1B" w:rsidRPr="009B34D1">
          <w:rPr>
            <w:rStyle w:val="Hyperlink"/>
            <w:noProof/>
            <w14:scene3d>
              <w14:camera w14:prst="orthographicFront"/>
              <w14:lightRig w14:rig="threePt" w14:dir="t">
                <w14:rot w14:lat="0" w14:lon="0" w14:rev="0"/>
              </w14:lightRig>
            </w14:scene3d>
          </w:rPr>
          <w:t>5.1.3</w:t>
        </w:r>
        <w:r w:rsidR="00B75E1B">
          <w:rPr>
            <w:rFonts w:asciiTheme="minorHAnsi" w:eastAsiaTheme="minorEastAsia" w:hAnsiTheme="minorHAnsi" w:cstheme="minorBidi"/>
            <w:noProof/>
            <w:sz w:val="22"/>
            <w:szCs w:val="22"/>
            <w:lang w:eastAsia="en-GB"/>
          </w:rPr>
          <w:tab/>
        </w:r>
        <w:r w:rsidR="00B75E1B" w:rsidRPr="009B34D1">
          <w:rPr>
            <w:rStyle w:val="Hyperlink"/>
            <w:noProof/>
          </w:rPr>
          <w:t>Parallel UCRs –  Fee reserving &amp; Direct Reporting</w:t>
        </w:r>
        <w:r w:rsidR="00B75E1B">
          <w:rPr>
            <w:noProof/>
            <w:webHidden/>
          </w:rPr>
          <w:tab/>
        </w:r>
        <w:r w:rsidR="00B75E1B">
          <w:rPr>
            <w:noProof/>
            <w:webHidden/>
          </w:rPr>
          <w:fldChar w:fldCharType="begin"/>
        </w:r>
        <w:r w:rsidR="00B75E1B">
          <w:rPr>
            <w:noProof/>
            <w:webHidden/>
          </w:rPr>
          <w:instrText xml:space="preserve"> PAGEREF _Toc396989218 \h </w:instrText>
        </w:r>
        <w:r w:rsidR="00B75E1B">
          <w:rPr>
            <w:noProof/>
            <w:webHidden/>
          </w:rPr>
        </w:r>
        <w:r w:rsidR="00B75E1B">
          <w:rPr>
            <w:noProof/>
            <w:webHidden/>
          </w:rPr>
          <w:fldChar w:fldCharType="separate"/>
        </w:r>
        <w:r w:rsidR="00B75E1B">
          <w:rPr>
            <w:noProof/>
            <w:webHidden/>
          </w:rPr>
          <w:t>55</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19" w:history="1">
        <w:r w:rsidR="00B75E1B" w:rsidRPr="009B34D1">
          <w:rPr>
            <w:rStyle w:val="Hyperlink"/>
            <w:noProof/>
            <w14:scene3d>
              <w14:camera w14:prst="orthographicFront"/>
              <w14:lightRig w14:rig="threePt" w14:dir="t">
                <w14:rot w14:lat="0" w14:lon="0" w14:rev="0"/>
              </w14:lightRig>
            </w14:scene3d>
          </w:rPr>
          <w:t>5.1.4</w:t>
        </w:r>
        <w:r w:rsidR="00B75E1B">
          <w:rPr>
            <w:rFonts w:asciiTheme="minorHAnsi" w:eastAsiaTheme="minorEastAsia" w:hAnsiTheme="minorHAnsi" w:cstheme="minorBidi"/>
            <w:noProof/>
            <w:sz w:val="22"/>
            <w:szCs w:val="22"/>
            <w:lang w:eastAsia="en-GB"/>
          </w:rPr>
          <w:tab/>
        </w:r>
        <w:r w:rsidR="00B75E1B" w:rsidRPr="009B34D1">
          <w:rPr>
            <w:rStyle w:val="Hyperlink"/>
            <w:noProof/>
          </w:rPr>
          <w:t>Parallel UCRs and Multiple CORs</w:t>
        </w:r>
        <w:r w:rsidR="00B75E1B">
          <w:rPr>
            <w:noProof/>
            <w:webHidden/>
          </w:rPr>
          <w:tab/>
        </w:r>
        <w:r w:rsidR="00B75E1B">
          <w:rPr>
            <w:noProof/>
            <w:webHidden/>
          </w:rPr>
          <w:fldChar w:fldCharType="begin"/>
        </w:r>
        <w:r w:rsidR="00B75E1B">
          <w:rPr>
            <w:noProof/>
            <w:webHidden/>
          </w:rPr>
          <w:instrText xml:space="preserve"> PAGEREF _Toc396989219 \h </w:instrText>
        </w:r>
        <w:r w:rsidR="00B75E1B">
          <w:rPr>
            <w:noProof/>
            <w:webHidden/>
          </w:rPr>
        </w:r>
        <w:r w:rsidR="00B75E1B">
          <w:rPr>
            <w:noProof/>
            <w:webHidden/>
          </w:rPr>
          <w:fldChar w:fldCharType="separate"/>
        </w:r>
        <w:r w:rsidR="00B75E1B">
          <w:rPr>
            <w:noProof/>
            <w:webHidden/>
          </w:rPr>
          <w:t>56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20" w:history="1">
        <w:r w:rsidR="00B75E1B" w:rsidRPr="009B34D1">
          <w:rPr>
            <w:rStyle w:val="Hyperlink"/>
            <w:noProof/>
            <w14:scene3d>
              <w14:camera w14:prst="orthographicFront"/>
              <w14:lightRig w14:rig="threePt" w14:dir="t">
                <w14:rot w14:lat="0" w14:lon="0" w14:rev="0"/>
              </w14:lightRig>
            </w14:scene3d>
          </w:rPr>
          <w:t>5.1.5</w:t>
        </w:r>
        <w:r w:rsidR="00B75E1B">
          <w:rPr>
            <w:rFonts w:asciiTheme="minorHAnsi" w:eastAsiaTheme="minorEastAsia" w:hAnsiTheme="minorHAnsi" w:cstheme="minorBidi"/>
            <w:noProof/>
            <w:sz w:val="22"/>
            <w:szCs w:val="22"/>
            <w:lang w:eastAsia="en-GB"/>
          </w:rPr>
          <w:tab/>
        </w:r>
        <w:r w:rsidR="00B75E1B" w:rsidRPr="009B34D1">
          <w:rPr>
            <w:rStyle w:val="Hyperlink"/>
            <w:noProof/>
          </w:rPr>
          <w:t>Comments</w:t>
        </w:r>
        <w:r w:rsidR="00B75E1B">
          <w:rPr>
            <w:noProof/>
            <w:webHidden/>
          </w:rPr>
          <w:tab/>
        </w:r>
        <w:r w:rsidR="00B75E1B">
          <w:rPr>
            <w:noProof/>
            <w:webHidden/>
          </w:rPr>
          <w:fldChar w:fldCharType="begin"/>
        </w:r>
        <w:r w:rsidR="00B75E1B">
          <w:rPr>
            <w:noProof/>
            <w:webHidden/>
          </w:rPr>
          <w:instrText xml:space="preserve"> PAGEREF _Toc396989220 \h </w:instrText>
        </w:r>
        <w:r w:rsidR="00B75E1B">
          <w:rPr>
            <w:noProof/>
            <w:webHidden/>
          </w:rPr>
        </w:r>
        <w:r w:rsidR="00B75E1B">
          <w:rPr>
            <w:noProof/>
            <w:webHidden/>
          </w:rPr>
          <w:fldChar w:fldCharType="separate"/>
        </w:r>
        <w:r w:rsidR="00B75E1B">
          <w:rPr>
            <w:noProof/>
            <w:webHidden/>
          </w:rPr>
          <w:t>56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21" w:history="1">
        <w:r w:rsidR="00B75E1B" w:rsidRPr="009B34D1">
          <w:rPr>
            <w:rStyle w:val="Hyperlink"/>
            <w:noProof/>
            <w14:scene3d>
              <w14:camera w14:prst="orthographicFront"/>
              <w14:lightRig w14:rig="threePt" w14:dir="t">
                <w14:rot w14:lat="0" w14:lon="0" w14:rev="0"/>
              </w14:lightRig>
            </w14:scene3d>
          </w:rPr>
          <w:t>5.1.6</w:t>
        </w:r>
        <w:r w:rsidR="00B75E1B">
          <w:rPr>
            <w:rFonts w:asciiTheme="minorHAnsi" w:eastAsiaTheme="minorEastAsia" w:hAnsiTheme="minorHAnsi" w:cstheme="minorBidi"/>
            <w:noProof/>
            <w:sz w:val="22"/>
            <w:szCs w:val="22"/>
            <w:lang w:eastAsia="en-GB"/>
          </w:rPr>
          <w:tab/>
        </w:r>
        <w:r w:rsidR="00B75E1B" w:rsidRPr="009B34D1">
          <w:rPr>
            <w:rStyle w:val="Hyperlink"/>
            <w:noProof/>
          </w:rPr>
          <w:t>Creation of parallel UCRs</w:t>
        </w:r>
        <w:r w:rsidR="00B75E1B">
          <w:rPr>
            <w:noProof/>
            <w:webHidden/>
          </w:rPr>
          <w:tab/>
        </w:r>
        <w:r w:rsidR="00B75E1B">
          <w:rPr>
            <w:noProof/>
            <w:webHidden/>
          </w:rPr>
          <w:fldChar w:fldCharType="begin"/>
        </w:r>
        <w:r w:rsidR="00B75E1B">
          <w:rPr>
            <w:noProof/>
            <w:webHidden/>
          </w:rPr>
          <w:instrText xml:space="preserve"> PAGEREF _Toc396989221 \h </w:instrText>
        </w:r>
        <w:r w:rsidR="00B75E1B">
          <w:rPr>
            <w:noProof/>
            <w:webHidden/>
          </w:rPr>
        </w:r>
        <w:r w:rsidR="00B75E1B">
          <w:rPr>
            <w:noProof/>
            <w:webHidden/>
          </w:rPr>
          <w:fldChar w:fldCharType="separate"/>
        </w:r>
        <w:r w:rsidR="00B75E1B">
          <w:rPr>
            <w:noProof/>
            <w:webHidden/>
          </w:rPr>
          <w:t>56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22" w:history="1">
        <w:r w:rsidR="00B75E1B" w:rsidRPr="009B34D1">
          <w:rPr>
            <w:rStyle w:val="Hyperlink"/>
            <w:noProof/>
            <w14:scene3d>
              <w14:camera w14:prst="orthographicFront"/>
              <w14:lightRig w14:rig="threePt" w14:dir="t">
                <w14:rot w14:lat="0" w14:lon="0" w14:rev="0"/>
              </w14:lightRig>
            </w14:scene3d>
          </w:rPr>
          <w:t>5.1.7</w:t>
        </w:r>
        <w:r w:rsidR="00B75E1B">
          <w:rPr>
            <w:rFonts w:asciiTheme="minorHAnsi" w:eastAsiaTheme="minorEastAsia" w:hAnsiTheme="minorHAnsi" w:cstheme="minorBidi"/>
            <w:noProof/>
            <w:sz w:val="22"/>
            <w:szCs w:val="22"/>
            <w:lang w:eastAsia="en-GB"/>
          </w:rPr>
          <w:tab/>
        </w:r>
        <w:r w:rsidR="00B75E1B" w:rsidRPr="009B34D1">
          <w:rPr>
            <w:rStyle w:val="Hyperlink"/>
            <w:noProof/>
          </w:rPr>
          <w:t>Conflict of Interest – Parallel UCRs</w:t>
        </w:r>
        <w:r w:rsidR="00B75E1B">
          <w:rPr>
            <w:noProof/>
            <w:webHidden/>
          </w:rPr>
          <w:tab/>
        </w:r>
        <w:r w:rsidR="00B75E1B">
          <w:rPr>
            <w:noProof/>
            <w:webHidden/>
          </w:rPr>
          <w:fldChar w:fldCharType="begin"/>
        </w:r>
        <w:r w:rsidR="00B75E1B">
          <w:rPr>
            <w:noProof/>
            <w:webHidden/>
          </w:rPr>
          <w:instrText xml:space="preserve"> PAGEREF _Toc396989222 \h </w:instrText>
        </w:r>
        <w:r w:rsidR="00B75E1B">
          <w:rPr>
            <w:noProof/>
            <w:webHidden/>
          </w:rPr>
        </w:r>
        <w:r w:rsidR="00B75E1B">
          <w:rPr>
            <w:noProof/>
            <w:webHidden/>
          </w:rPr>
          <w:fldChar w:fldCharType="separate"/>
        </w:r>
        <w:r w:rsidR="00B75E1B">
          <w:rPr>
            <w:noProof/>
            <w:webHidden/>
          </w:rPr>
          <w:t>56</w:t>
        </w:r>
        <w:r w:rsidR="00B75E1B">
          <w:rPr>
            <w:noProof/>
            <w:webHidden/>
          </w:rPr>
          <w:fldChar w:fldCharType="end"/>
        </w:r>
      </w:hyperlink>
    </w:p>
    <w:p w:rsidR="00B75E1B" w:rsidRDefault="00634191">
      <w:pPr>
        <w:pStyle w:val="TOC3"/>
        <w:rPr>
          <w:rFonts w:asciiTheme="minorHAnsi" w:eastAsiaTheme="minorEastAsia" w:hAnsiTheme="minorHAnsi" w:cstheme="minorBidi"/>
          <w:noProof/>
          <w:sz w:val="22"/>
          <w:szCs w:val="22"/>
          <w:lang w:eastAsia="en-GB"/>
        </w:rPr>
      </w:pPr>
      <w:hyperlink w:anchor="_Toc396989223" w:history="1">
        <w:r w:rsidR="00B75E1B" w:rsidRPr="009B34D1">
          <w:rPr>
            <w:rStyle w:val="Hyperlink"/>
            <w:noProof/>
            <w14:scene3d>
              <w14:camera w14:prst="orthographicFront"/>
              <w14:lightRig w14:rig="threePt" w14:dir="t">
                <w14:rot w14:lat="0" w14:lon="0" w14:rev="0"/>
              </w14:lightRig>
            </w14:scene3d>
          </w:rPr>
          <w:t>5.1.8</w:t>
        </w:r>
        <w:r w:rsidR="00B75E1B">
          <w:rPr>
            <w:rFonts w:asciiTheme="minorHAnsi" w:eastAsiaTheme="minorEastAsia" w:hAnsiTheme="minorHAnsi" w:cstheme="minorBidi"/>
            <w:noProof/>
            <w:sz w:val="22"/>
            <w:szCs w:val="22"/>
            <w:lang w:eastAsia="en-GB"/>
          </w:rPr>
          <w:tab/>
        </w:r>
        <w:r w:rsidR="00B75E1B" w:rsidRPr="009B34D1">
          <w:rPr>
            <w:rStyle w:val="Hyperlink"/>
            <w:noProof/>
          </w:rPr>
          <w:t>Conflict of Interest</w:t>
        </w:r>
        <w:r w:rsidR="00B75E1B">
          <w:rPr>
            <w:noProof/>
            <w:webHidden/>
          </w:rPr>
          <w:tab/>
        </w:r>
        <w:r w:rsidR="00B75E1B">
          <w:rPr>
            <w:noProof/>
            <w:webHidden/>
          </w:rPr>
          <w:fldChar w:fldCharType="begin"/>
        </w:r>
        <w:r w:rsidR="00B75E1B">
          <w:rPr>
            <w:noProof/>
            <w:webHidden/>
          </w:rPr>
          <w:instrText xml:space="preserve"> PAGEREF _Toc396989223 \h </w:instrText>
        </w:r>
        <w:r w:rsidR="00B75E1B">
          <w:rPr>
            <w:noProof/>
            <w:webHidden/>
          </w:rPr>
        </w:r>
        <w:r w:rsidR="00B75E1B">
          <w:rPr>
            <w:noProof/>
            <w:webHidden/>
          </w:rPr>
          <w:fldChar w:fldCharType="separate"/>
        </w:r>
        <w:r w:rsidR="00B75E1B">
          <w:rPr>
            <w:noProof/>
            <w:webHidden/>
          </w:rPr>
          <w:t>56</w:t>
        </w:r>
        <w:r w:rsidR="00B75E1B">
          <w:rPr>
            <w:noProof/>
            <w:webHidden/>
          </w:rPr>
          <w:fldChar w:fldCharType="end"/>
        </w:r>
      </w:hyperlink>
    </w:p>
    <w:p w:rsidR="00B75E1B" w:rsidRDefault="00634191">
      <w:pPr>
        <w:pStyle w:val="TOC1"/>
        <w:tabs>
          <w:tab w:val="left" w:pos="400"/>
          <w:tab w:val="right" w:leader="dot" w:pos="9019"/>
        </w:tabs>
        <w:rPr>
          <w:rFonts w:asciiTheme="minorHAnsi" w:eastAsiaTheme="minorEastAsia" w:hAnsiTheme="minorHAnsi" w:cstheme="minorBidi"/>
          <w:b w:val="0"/>
          <w:bCs w:val="0"/>
          <w:caps w:val="0"/>
          <w:noProof/>
          <w:sz w:val="22"/>
          <w:szCs w:val="22"/>
          <w:lang w:eastAsia="en-GB"/>
        </w:rPr>
      </w:pPr>
      <w:hyperlink w:anchor="_Toc396989224" w:history="1">
        <w:r w:rsidR="00B75E1B" w:rsidRPr="009B34D1">
          <w:rPr>
            <w:rStyle w:val="Hyperlink"/>
            <w:noProof/>
          </w:rPr>
          <w:t>6.</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noProof/>
          </w:rPr>
          <w:t>Variations</w:t>
        </w:r>
        <w:r w:rsidR="00B75E1B">
          <w:rPr>
            <w:noProof/>
            <w:webHidden/>
          </w:rPr>
          <w:tab/>
        </w:r>
        <w:r w:rsidR="00B75E1B">
          <w:rPr>
            <w:noProof/>
            <w:webHidden/>
          </w:rPr>
          <w:fldChar w:fldCharType="begin"/>
        </w:r>
        <w:r w:rsidR="00B75E1B">
          <w:rPr>
            <w:noProof/>
            <w:webHidden/>
          </w:rPr>
          <w:instrText xml:space="preserve"> PAGEREF _Toc396989224 \h </w:instrText>
        </w:r>
        <w:r w:rsidR="00B75E1B">
          <w:rPr>
            <w:noProof/>
            <w:webHidden/>
          </w:rPr>
        </w:r>
        <w:r w:rsidR="00B75E1B">
          <w:rPr>
            <w:noProof/>
            <w:webHidden/>
          </w:rPr>
          <w:fldChar w:fldCharType="separate"/>
        </w:r>
        <w:r w:rsidR="00B75E1B">
          <w:rPr>
            <w:noProof/>
            <w:webHidden/>
          </w:rPr>
          <w:t>56</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25" w:history="1">
        <w:r w:rsidR="00B75E1B" w:rsidRPr="009B34D1">
          <w:rPr>
            <w:rStyle w:val="Hyperlink"/>
            <w:noProof/>
          </w:rPr>
          <w:t>6.1</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Duplicate UCRs</w:t>
        </w:r>
        <w:r w:rsidR="00B75E1B">
          <w:rPr>
            <w:noProof/>
            <w:webHidden/>
          </w:rPr>
          <w:tab/>
        </w:r>
        <w:r w:rsidR="00B75E1B">
          <w:rPr>
            <w:noProof/>
            <w:webHidden/>
          </w:rPr>
          <w:fldChar w:fldCharType="begin"/>
        </w:r>
        <w:r w:rsidR="00B75E1B">
          <w:rPr>
            <w:noProof/>
            <w:webHidden/>
          </w:rPr>
          <w:instrText xml:space="preserve"> PAGEREF _Toc396989225 \h </w:instrText>
        </w:r>
        <w:r w:rsidR="00B75E1B">
          <w:rPr>
            <w:noProof/>
            <w:webHidden/>
          </w:rPr>
        </w:r>
        <w:r w:rsidR="00B75E1B">
          <w:rPr>
            <w:noProof/>
            <w:webHidden/>
          </w:rPr>
          <w:fldChar w:fldCharType="separate"/>
        </w:r>
        <w:r w:rsidR="00B75E1B">
          <w:rPr>
            <w:noProof/>
            <w:webHidden/>
          </w:rPr>
          <w:t>56</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26" w:history="1">
        <w:r w:rsidR="00B75E1B" w:rsidRPr="009B34D1">
          <w:rPr>
            <w:rStyle w:val="Hyperlink"/>
            <w:noProof/>
          </w:rPr>
          <w:t>6.2</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Confidential Terms</w:t>
        </w:r>
        <w:r w:rsidR="00B75E1B">
          <w:rPr>
            <w:noProof/>
            <w:webHidden/>
          </w:rPr>
          <w:tab/>
        </w:r>
        <w:r w:rsidR="00B75E1B">
          <w:rPr>
            <w:noProof/>
            <w:webHidden/>
          </w:rPr>
          <w:fldChar w:fldCharType="begin"/>
        </w:r>
        <w:r w:rsidR="00B75E1B">
          <w:rPr>
            <w:noProof/>
            <w:webHidden/>
          </w:rPr>
          <w:instrText xml:space="preserve"> PAGEREF _Toc396989226 \h </w:instrText>
        </w:r>
        <w:r w:rsidR="00B75E1B">
          <w:rPr>
            <w:noProof/>
            <w:webHidden/>
          </w:rPr>
        </w:r>
        <w:r w:rsidR="00B75E1B">
          <w:rPr>
            <w:noProof/>
            <w:webHidden/>
          </w:rPr>
          <w:fldChar w:fldCharType="separate"/>
        </w:r>
        <w:r w:rsidR="00B75E1B">
          <w:rPr>
            <w:noProof/>
            <w:webHidden/>
          </w:rPr>
          <w:t>56</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27" w:history="1">
        <w:r w:rsidR="00B75E1B" w:rsidRPr="009B34D1">
          <w:rPr>
            <w:rStyle w:val="Hyperlink"/>
            <w:noProof/>
          </w:rPr>
          <w:t>6.3</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ECF Transaction Deletion (The Parent / Child Issue)</w:t>
        </w:r>
        <w:r w:rsidR="00B75E1B">
          <w:rPr>
            <w:noProof/>
            <w:webHidden/>
          </w:rPr>
          <w:tab/>
        </w:r>
        <w:r w:rsidR="00B75E1B">
          <w:rPr>
            <w:noProof/>
            <w:webHidden/>
          </w:rPr>
          <w:fldChar w:fldCharType="begin"/>
        </w:r>
        <w:r w:rsidR="00B75E1B">
          <w:rPr>
            <w:noProof/>
            <w:webHidden/>
          </w:rPr>
          <w:instrText xml:space="preserve"> PAGEREF _Toc396989227 \h </w:instrText>
        </w:r>
        <w:r w:rsidR="00B75E1B">
          <w:rPr>
            <w:noProof/>
            <w:webHidden/>
          </w:rPr>
        </w:r>
        <w:r w:rsidR="00B75E1B">
          <w:rPr>
            <w:noProof/>
            <w:webHidden/>
          </w:rPr>
          <w:fldChar w:fldCharType="separate"/>
        </w:r>
        <w:r w:rsidR="00B75E1B">
          <w:rPr>
            <w:noProof/>
            <w:webHidden/>
          </w:rPr>
          <w:t>56</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28" w:history="1">
        <w:r w:rsidR="00B75E1B" w:rsidRPr="009B34D1">
          <w:rPr>
            <w:rStyle w:val="Hyperlink"/>
            <w:noProof/>
          </w:rPr>
          <w:t>6.4</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lang w:eastAsia="en-GB"/>
          </w:rPr>
          <w:t>Outbound DRI Notifications: Receipt of notifications for replacement lead</w:t>
        </w:r>
        <w:r w:rsidR="00B75E1B">
          <w:rPr>
            <w:noProof/>
            <w:webHidden/>
          </w:rPr>
          <w:tab/>
        </w:r>
        <w:r w:rsidR="00B75E1B">
          <w:rPr>
            <w:noProof/>
            <w:webHidden/>
          </w:rPr>
          <w:fldChar w:fldCharType="begin"/>
        </w:r>
        <w:r w:rsidR="00B75E1B">
          <w:rPr>
            <w:noProof/>
            <w:webHidden/>
          </w:rPr>
          <w:instrText xml:space="preserve"> PAGEREF _Toc396989228 \h </w:instrText>
        </w:r>
        <w:r w:rsidR="00B75E1B">
          <w:rPr>
            <w:noProof/>
            <w:webHidden/>
          </w:rPr>
        </w:r>
        <w:r w:rsidR="00B75E1B">
          <w:rPr>
            <w:noProof/>
            <w:webHidden/>
          </w:rPr>
          <w:fldChar w:fldCharType="separate"/>
        </w:r>
        <w:r w:rsidR="00B75E1B">
          <w:rPr>
            <w:noProof/>
            <w:webHidden/>
          </w:rPr>
          <w:t>57</w:t>
        </w:r>
        <w:r w:rsidR="00B75E1B">
          <w:rPr>
            <w:noProof/>
            <w:webHidden/>
          </w:rPr>
          <w:fldChar w:fldCharType="end"/>
        </w:r>
      </w:hyperlink>
    </w:p>
    <w:p w:rsidR="00B75E1B" w:rsidRDefault="00634191">
      <w:pPr>
        <w:pStyle w:val="TOC1"/>
        <w:tabs>
          <w:tab w:val="left" w:pos="400"/>
          <w:tab w:val="right" w:leader="dot" w:pos="9019"/>
        </w:tabs>
        <w:rPr>
          <w:rFonts w:asciiTheme="minorHAnsi" w:eastAsiaTheme="minorEastAsia" w:hAnsiTheme="minorHAnsi" w:cstheme="minorBidi"/>
          <w:b w:val="0"/>
          <w:bCs w:val="0"/>
          <w:caps w:val="0"/>
          <w:noProof/>
          <w:sz w:val="22"/>
          <w:szCs w:val="22"/>
          <w:lang w:eastAsia="en-GB"/>
        </w:rPr>
      </w:pPr>
      <w:hyperlink w:anchor="_Toc396989229" w:history="1">
        <w:r w:rsidR="00B75E1B" w:rsidRPr="009B34D1">
          <w:rPr>
            <w:rStyle w:val="Hyperlink"/>
            <w:noProof/>
          </w:rPr>
          <w:t>7.</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rFonts w:cs="Arial"/>
            <w:noProof/>
          </w:rPr>
          <w:t>APPENDIx B – Claims Process MAPS</w:t>
        </w:r>
        <w:r w:rsidR="00B75E1B">
          <w:rPr>
            <w:noProof/>
            <w:webHidden/>
          </w:rPr>
          <w:tab/>
        </w:r>
        <w:r w:rsidR="00B75E1B">
          <w:rPr>
            <w:noProof/>
            <w:webHidden/>
          </w:rPr>
          <w:fldChar w:fldCharType="begin"/>
        </w:r>
        <w:r w:rsidR="00B75E1B">
          <w:rPr>
            <w:noProof/>
            <w:webHidden/>
          </w:rPr>
          <w:instrText xml:space="preserve"> PAGEREF _Toc396989229 \h </w:instrText>
        </w:r>
        <w:r w:rsidR="00B75E1B">
          <w:rPr>
            <w:noProof/>
            <w:webHidden/>
          </w:rPr>
        </w:r>
        <w:r w:rsidR="00B75E1B">
          <w:rPr>
            <w:noProof/>
            <w:webHidden/>
          </w:rPr>
          <w:fldChar w:fldCharType="separate"/>
        </w:r>
        <w:r w:rsidR="00B75E1B">
          <w:rPr>
            <w:noProof/>
            <w:webHidden/>
          </w:rPr>
          <w:t>59</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32" w:history="1">
        <w:r w:rsidR="00B75E1B" w:rsidRPr="009B34D1">
          <w:rPr>
            <w:rStyle w:val="Hyperlink"/>
            <w:noProof/>
          </w:rPr>
          <w:t>7.1</w:t>
        </w:r>
        <w:r w:rsidR="00B75E1B">
          <w:rPr>
            <w:rFonts w:asciiTheme="minorHAnsi" w:eastAsiaTheme="minorEastAsia" w:hAnsiTheme="minorHAnsi" w:cstheme="minorBidi"/>
            <w:b w:val="0"/>
            <w:bCs w:val="0"/>
            <w:noProof/>
            <w:sz w:val="22"/>
            <w:szCs w:val="22"/>
            <w:lang w:eastAsia="en-GB"/>
          </w:rPr>
          <w:tab/>
        </w:r>
        <w:r w:rsidR="00B75E1B" w:rsidRPr="009B34D1">
          <w:rPr>
            <w:rStyle w:val="Hyperlink"/>
            <w:noProof/>
          </w:rPr>
          <w:t>ECF Business Process Model</w:t>
        </w:r>
        <w:r w:rsidR="00B75E1B">
          <w:rPr>
            <w:noProof/>
            <w:webHidden/>
          </w:rPr>
          <w:tab/>
        </w:r>
        <w:r w:rsidR="00B75E1B">
          <w:rPr>
            <w:noProof/>
            <w:webHidden/>
          </w:rPr>
          <w:fldChar w:fldCharType="begin"/>
        </w:r>
        <w:r w:rsidR="00B75E1B">
          <w:rPr>
            <w:noProof/>
            <w:webHidden/>
          </w:rPr>
          <w:instrText xml:space="preserve"> PAGEREF _Toc396989232 \h </w:instrText>
        </w:r>
        <w:r w:rsidR="00B75E1B">
          <w:rPr>
            <w:noProof/>
            <w:webHidden/>
          </w:rPr>
        </w:r>
        <w:r w:rsidR="00B75E1B">
          <w:rPr>
            <w:noProof/>
            <w:webHidden/>
          </w:rPr>
          <w:fldChar w:fldCharType="separate"/>
        </w:r>
        <w:r w:rsidR="00B75E1B">
          <w:rPr>
            <w:noProof/>
            <w:webHidden/>
          </w:rPr>
          <w:t>59</w:t>
        </w:r>
        <w:r w:rsidR="00B75E1B">
          <w:rPr>
            <w:noProof/>
            <w:webHidden/>
          </w:rPr>
          <w:fldChar w:fldCharType="end"/>
        </w:r>
      </w:hyperlink>
    </w:p>
    <w:p w:rsidR="00B75E1B" w:rsidRDefault="00634191">
      <w:pPr>
        <w:pStyle w:val="TOC2"/>
        <w:tabs>
          <w:tab w:val="left" w:pos="600"/>
          <w:tab w:val="right" w:leader="dot" w:pos="9019"/>
        </w:tabs>
        <w:rPr>
          <w:rFonts w:asciiTheme="minorHAnsi" w:eastAsiaTheme="minorEastAsia" w:hAnsiTheme="minorHAnsi" w:cstheme="minorBidi"/>
          <w:b w:val="0"/>
          <w:bCs w:val="0"/>
          <w:noProof/>
          <w:sz w:val="22"/>
          <w:szCs w:val="22"/>
          <w:lang w:eastAsia="en-GB"/>
        </w:rPr>
      </w:pPr>
      <w:hyperlink w:anchor="_Toc396989233" w:history="1">
        <w:r w:rsidR="00B75E1B" w:rsidRPr="009B34D1">
          <w:rPr>
            <w:rStyle w:val="Hyperlink"/>
            <w:noProof/>
          </w:rPr>
          <w:t>7.2</w:t>
        </w:r>
        <w:r w:rsidR="00B75E1B">
          <w:rPr>
            <w:rFonts w:asciiTheme="minorHAnsi" w:eastAsiaTheme="minorEastAsia" w:hAnsiTheme="minorHAnsi" w:cstheme="minorBidi"/>
            <w:b w:val="0"/>
            <w:bCs w:val="0"/>
            <w:noProof/>
            <w:sz w:val="22"/>
            <w:szCs w:val="22"/>
            <w:lang w:eastAsia="en-GB"/>
          </w:rPr>
          <w:tab/>
        </w:r>
        <w:r w:rsidR="00B75E1B" w:rsidRPr="009B34D1">
          <w:rPr>
            <w:rStyle w:val="Hyperlink"/>
            <w:rFonts w:cs="Arial"/>
            <w:noProof/>
          </w:rPr>
          <w:t>ECF Business Process Model – Grouped by Process</w:t>
        </w:r>
        <w:r w:rsidR="00B75E1B">
          <w:rPr>
            <w:noProof/>
            <w:webHidden/>
          </w:rPr>
          <w:tab/>
        </w:r>
        <w:r w:rsidR="00B75E1B">
          <w:rPr>
            <w:noProof/>
            <w:webHidden/>
          </w:rPr>
          <w:fldChar w:fldCharType="begin"/>
        </w:r>
        <w:r w:rsidR="00B75E1B">
          <w:rPr>
            <w:noProof/>
            <w:webHidden/>
          </w:rPr>
          <w:instrText xml:space="preserve"> PAGEREF _Toc396989233 \h </w:instrText>
        </w:r>
        <w:r w:rsidR="00B75E1B">
          <w:rPr>
            <w:noProof/>
            <w:webHidden/>
          </w:rPr>
        </w:r>
        <w:r w:rsidR="00B75E1B">
          <w:rPr>
            <w:noProof/>
            <w:webHidden/>
          </w:rPr>
          <w:fldChar w:fldCharType="separate"/>
        </w:r>
        <w:r w:rsidR="00B75E1B">
          <w:rPr>
            <w:noProof/>
            <w:webHidden/>
          </w:rPr>
          <w:t>60</w:t>
        </w:r>
        <w:r w:rsidR="00B75E1B">
          <w:rPr>
            <w:noProof/>
            <w:webHidden/>
          </w:rPr>
          <w:fldChar w:fldCharType="end"/>
        </w:r>
      </w:hyperlink>
    </w:p>
    <w:p w:rsidR="00B75E1B" w:rsidRDefault="00634191">
      <w:pPr>
        <w:pStyle w:val="TOC1"/>
        <w:tabs>
          <w:tab w:val="left" w:pos="400"/>
          <w:tab w:val="right" w:leader="dot" w:pos="9019"/>
        </w:tabs>
        <w:rPr>
          <w:rFonts w:asciiTheme="minorHAnsi" w:eastAsiaTheme="minorEastAsia" w:hAnsiTheme="minorHAnsi" w:cstheme="minorBidi"/>
          <w:b w:val="0"/>
          <w:bCs w:val="0"/>
          <w:caps w:val="0"/>
          <w:noProof/>
          <w:sz w:val="22"/>
          <w:szCs w:val="22"/>
          <w:lang w:eastAsia="en-GB"/>
        </w:rPr>
      </w:pPr>
      <w:hyperlink w:anchor="_Toc396989234" w:history="1">
        <w:r w:rsidR="00B75E1B" w:rsidRPr="009B34D1">
          <w:rPr>
            <w:rStyle w:val="Hyperlink"/>
            <w:noProof/>
          </w:rPr>
          <w:t>8.</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rFonts w:cs="Arial"/>
            <w:noProof/>
          </w:rPr>
          <w:t>APPENDIX C – Glossary</w:t>
        </w:r>
        <w:r w:rsidR="00B75E1B">
          <w:rPr>
            <w:noProof/>
            <w:webHidden/>
          </w:rPr>
          <w:tab/>
        </w:r>
        <w:r w:rsidR="00B75E1B">
          <w:rPr>
            <w:noProof/>
            <w:webHidden/>
          </w:rPr>
          <w:fldChar w:fldCharType="begin"/>
        </w:r>
        <w:r w:rsidR="00B75E1B">
          <w:rPr>
            <w:noProof/>
            <w:webHidden/>
          </w:rPr>
          <w:instrText xml:space="preserve"> PAGEREF _Toc396989234 \h </w:instrText>
        </w:r>
        <w:r w:rsidR="00B75E1B">
          <w:rPr>
            <w:noProof/>
            <w:webHidden/>
          </w:rPr>
        </w:r>
        <w:r w:rsidR="00B75E1B">
          <w:rPr>
            <w:noProof/>
            <w:webHidden/>
          </w:rPr>
          <w:fldChar w:fldCharType="separate"/>
        </w:r>
        <w:r w:rsidR="00B75E1B">
          <w:rPr>
            <w:noProof/>
            <w:webHidden/>
          </w:rPr>
          <w:t>61</w:t>
        </w:r>
        <w:r w:rsidR="00B75E1B">
          <w:rPr>
            <w:noProof/>
            <w:webHidden/>
          </w:rPr>
          <w:fldChar w:fldCharType="end"/>
        </w:r>
      </w:hyperlink>
    </w:p>
    <w:p w:rsidR="00B75E1B" w:rsidRDefault="00634191">
      <w:pPr>
        <w:pStyle w:val="TOC1"/>
        <w:tabs>
          <w:tab w:val="left" w:pos="400"/>
          <w:tab w:val="right" w:leader="dot" w:pos="9019"/>
        </w:tabs>
        <w:rPr>
          <w:rFonts w:asciiTheme="minorHAnsi" w:eastAsiaTheme="minorEastAsia" w:hAnsiTheme="minorHAnsi" w:cstheme="minorBidi"/>
          <w:b w:val="0"/>
          <w:bCs w:val="0"/>
          <w:caps w:val="0"/>
          <w:noProof/>
          <w:sz w:val="22"/>
          <w:szCs w:val="22"/>
          <w:lang w:eastAsia="en-GB"/>
        </w:rPr>
      </w:pPr>
      <w:hyperlink w:anchor="_Toc396989235" w:history="1">
        <w:r w:rsidR="00B75E1B" w:rsidRPr="009B34D1">
          <w:rPr>
            <w:rStyle w:val="Hyperlink"/>
            <w:noProof/>
          </w:rPr>
          <w:t>9.</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noProof/>
            <w:lang w:val="en-US"/>
          </w:rPr>
          <w:t xml:space="preserve">APPENDIX F – </w:t>
        </w:r>
        <w:r w:rsidR="00B75E1B" w:rsidRPr="009B34D1">
          <w:rPr>
            <w:rStyle w:val="Hyperlink"/>
            <w:noProof/>
          </w:rPr>
          <w:t>MINIMUM REQUIREMENTS FOR XCS BINDER LEGACY CLAIMS</w:t>
        </w:r>
        <w:r w:rsidR="00B75E1B">
          <w:rPr>
            <w:noProof/>
            <w:webHidden/>
          </w:rPr>
          <w:tab/>
        </w:r>
        <w:r w:rsidR="00B75E1B">
          <w:rPr>
            <w:noProof/>
            <w:webHidden/>
          </w:rPr>
          <w:fldChar w:fldCharType="begin"/>
        </w:r>
        <w:r w:rsidR="00B75E1B">
          <w:rPr>
            <w:noProof/>
            <w:webHidden/>
          </w:rPr>
          <w:instrText xml:space="preserve"> PAGEREF _Toc396989235 \h </w:instrText>
        </w:r>
        <w:r w:rsidR="00B75E1B">
          <w:rPr>
            <w:noProof/>
            <w:webHidden/>
          </w:rPr>
        </w:r>
        <w:r w:rsidR="00B75E1B">
          <w:rPr>
            <w:noProof/>
            <w:webHidden/>
          </w:rPr>
          <w:fldChar w:fldCharType="separate"/>
        </w:r>
        <w:r w:rsidR="00B75E1B">
          <w:rPr>
            <w:noProof/>
            <w:webHidden/>
          </w:rPr>
          <w:t>62</w:t>
        </w:r>
        <w:r w:rsidR="00B75E1B">
          <w:rPr>
            <w:noProof/>
            <w:webHidden/>
          </w:rPr>
          <w:fldChar w:fldCharType="end"/>
        </w:r>
      </w:hyperlink>
    </w:p>
    <w:p w:rsidR="00B75E1B" w:rsidRDefault="00634191">
      <w:pPr>
        <w:pStyle w:val="TOC1"/>
        <w:tabs>
          <w:tab w:val="left" w:pos="600"/>
          <w:tab w:val="right" w:leader="dot" w:pos="9019"/>
        </w:tabs>
        <w:rPr>
          <w:rFonts w:asciiTheme="minorHAnsi" w:eastAsiaTheme="minorEastAsia" w:hAnsiTheme="minorHAnsi" w:cstheme="minorBidi"/>
          <w:b w:val="0"/>
          <w:bCs w:val="0"/>
          <w:caps w:val="0"/>
          <w:noProof/>
          <w:sz w:val="22"/>
          <w:szCs w:val="22"/>
          <w:lang w:eastAsia="en-GB"/>
        </w:rPr>
      </w:pPr>
      <w:hyperlink w:anchor="_Toc396989236" w:history="1">
        <w:r w:rsidR="00B75E1B" w:rsidRPr="009B34D1">
          <w:rPr>
            <w:rStyle w:val="Hyperlink"/>
            <w:noProof/>
            <w:lang w:val="en-US"/>
          </w:rPr>
          <w:t>10.</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noProof/>
            <w:lang w:val="en-US"/>
          </w:rPr>
          <w:t>APPENDIX G – XCS LEGACY CO-ORDINATORS</w:t>
        </w:r>
        <w:r w:rsidR="00B75E1B">
          <w:rPr>
            <w:noProof/>
            <w:webHidden/>
          </w:rPr>
          <w:tab/>
        </w:r>
        <w:r w:rsidR="00B75E1B">
          <w:rPr>
            <w:noProof/>
            <w:webHidden/>
          </w:rPr>
          <w:fldChar w:fldCharType="begin"/>
        </w:r>
        <w:r w:rsidR="00B75E1B">
          <w:rPr>
            <w:noProof/>
            <w:webHidden/>
          </w:rPr>
          <w:instrText xml:space="preserve"> PAGEREF _Toc396989236 \h </w:instrText>
        </w:r>
        <w:r w:rsidR="00B75E1B">
          <w:rPr>
            <w:noProof/>
            <w:webHidden/>
          </w:rPr>
        </w:r>
        <w:r w:rsidR="00B75E1B">
          <w:rPr>
            <w:noProof/>
            <w:webHidden/>
          </w:rPr>
          <w:fldChar w:fldCharType="separate"/>
        </w:r>
        <w:r w:rsidR="00B75E1B">
          <w:rPr>
            <w:noProof/>
            <w:webHidden/>
          </w:rPr>
          <w:t>62</w:t>
        </w:r>
        <w:r w:rsidR="00B75E1B">
          <w:rPr>
            <w:noProof/>
            <w:webHidden/>
          </w:rPr>
          <w:fldChar w:fldCharType="end"/>
        </w:r>
      </w:hyperlink>
    </w:p>
    <w:p w:rsidR="00B75E1B" w:rsidRDefault="00634191">
      <w:pPr>
        <w:pStyle w:val="TOC1"/>
        <w:tabs>
          <w:tab w:val="left" w:pos="600"/>
          <w:tab w:val="right" w:leader="dot" w:pos="9019"/>
        </w:tabs>
        <w:rPr>
          <w:rFonts w:asciiTheme="minorHAnsi" w:eastAsiaTheme="minorEastAsia" w:hAnsiTheme="minorHAnsi" w:cstheme="minorBidi"/>
          <w:b w:val="0"/>
          <w:bCs w:val="0"/>
          <w:caps w:val="0"/>
          <w:noProof/>
          <w:sz w:val="22"/>
          <w:szCs w:val="22"/>
          <w:lang w:eastAsia="en-GB"/>
        </w:rPr>
      </w:pPr>
      <w:hyperlink w:anchor="_Toc396989237" w:history="1">
        <w:r w:rsidR="00B75E1B" w:rsidRPr="009B34D1">
          <w:rPr>
            <w:rStyle w:val="Hyperlink"/>
            <w:noProof/>
            <w:lang w:val="en-US"/>
          </w:rPr>
          <w:t>11.</w:t>
        </w:r>
        <w:r w:rsidR="00B75E1B">
          <w:rPr>
            <w:rFonts w:asciiTheme="minorHAnsi" w:eastAsiaTheme="minorEastAsia" w:hAnsiTheme="minorHAnsi" w:cstheme="minorBidi"/>
            <w:b w:val="0"/>
            <w:bCs w:val="0"/>
            <w:caps w:val="0"/>
            <w:noProof/>
            <w:sz w:val="22"/>
            <w:szCs w:val="22"/>
            <w:lang w:eastAsia="en-GB"/>
          </w:rPr>
          <w:tab/>
        </w:r>
        <w:r w:rsidR="00B75E1B" w:rsidRPr="009B34D1">
          <w:rPr>
            <w:rStyle w:val="Hyperlink"/>
            <w:noProof/>
            <w:lang w:val="en-US"/>
          </w:rPr>
          <w:t>APPENDIX H – Full list of supported file types (imr &amp; DFV)</w:t>
        </w:r>
        <w:r w:rsidR="00B75E1B">
          <w:rPr>
            <w:noProof/>
            <w:webHidden/>
          </w:rPr>
          <w:tab/>
        </w:r>
        <w:r w:rsidR="00B75E1B">
          <w:rPr>
            <w:noProof/>
            <w:webHidden/>
          </w:rPr>
          <w:fldChar w:fldCharType="begin"/>
        </w:r>
        <w:r w:rsidR="00B75E1B">
          <w:rPr>
            <w:noProof/>
            <w:webHidden/>
          </w:rPr>
          <w:instrText xml:space="preserve"> PAGEREF _Toc396989237 \h </w:instrText>
        </w:r>
        <w:r w:rsidR="00B75E1B">
          <w:rPr>
            <w:noProof/>
            <w:webHidden/>
          </w:rPr>
        </w:r>
        <w:r w:rsidR="00B75E1B">
          <w:rPr>
            <w:noProof/>
            <w:webHidden/>
          </w:rPr>
          <w:fldChar w:fldCharType="separate"/>
        </w:r>
        <w:r w:rsidR="00B75E1B">
          <w:rPr>
            <w:noProof/>
            <w:webHidden/>
          </w:rPr>
          <w:t>63</w:t>
        </w:r>
        <w:r w:rsidR="00B75E1B">
          <w:rPr>
            <w:noProof/>
            <w:webHidden/>
          </w:rPr>
          <w:fldChar w:fldCharType="end"/>
        </w:r>
      </w:hyperlink>
    </w:p>
    <w:p w:rsidR="00372619" w:rsidRDefault="004C3649">
      <w:pPr>
        <w:spacing w:after="0"/>
        <w:jc w:val="left"/>
        <w:rPr>
          <w:rFonts w:cs="Arial"/>
          <w:b/>
          <w:caps/>
          <w:sz w:val="22"/>
          <w:szCs w:val="22"/>
        </w:rPr>
      </w:pPr>
      <w:r>
        <w:rPr>
          <w:rFonts w:cs="Arial"/>
          <w:b/>
          <w:caps/>
          <w:sz w:val="22"/>
          <w:szCs w:val="22"/>
        </w:rPr>
        <w:fldChar w:fldCharType="end"/>
      </w:r>
    </w:p>
    <w:p w:rsidR="00372619" w:rsidRDefault="00372619">
      <w:pPr>
        <w:spacing w:after="0"/>
        <w:jc w:val="left"/>
        <w:rPr>
          <w:rFonts w:cs="Arial"/>
          <w:b/>
          <w:caps/>
          <w:sz w:val="22"/>
          <w:szCs w:val="22"/>
        </w:rPr>
      </w:pPr>
      <w:r>
        <w:rPr>
          <w:rFonts w:cs="Arial"/>
        </w:rPr>
        <w:br w:type="page"/>
      </w:r>
    </w:p>
    <w:p w:rsidR="00B24D97" w:rsidRPr="00D64309" w:rsidRDefault="00B24D97" w:rsidP="00146A51">
      <w:pPr>
        <w:pStyle w:val="Heading1"/>
        <w:numPr>
          <w:ilvl w:val="0"/>
          <w:numId w:val="0"/>
        </w:numPr>
        <w:rPr>
          <w:rFonts w:cs="Arial"/>
        </w:rPr>
      </w:pPr>
      <w:bookmarkStart w:id="3" w:name="_Toc396989110"/>
      <w:r w:rsidRPr="00D64309">
        <w:rPr>
          <w:rFonts w:cs="Arial"/>
        </w:rPr>
        <w:lastRenderedPageBreak/>
        <w:t>PREFACE</w:t>
      </w:r>
      <w:bookmarkEnd w:id="1"/>
      <w:bookmarkEnd w:id="2"/>
      <w:bookmarkEnd w:id="3"/>
    </w:p>
    <w:p w:rsidR="00B24D97" w:rsidRPr="00D64309" w:rsidRDefault="00B24D97" w:rsidP="00476A3B">
      <w:pPr>
        <w:spacing w:line="360" w:lineRule="auto"/>
        <w:rPr>
          <w:rFonts w:cs="Arial"/>
          <w:b/>
        </w:rPr>
      </w:pPr>
      <w:r w:rsidRPr="00D64309">
        <w:rPr>
          <w:rFonts w:cs="Arial"/>
          <w:b/>
        </w:rPr>
        <w:t>This document does not give guidance on how and when claims should be managed: that is a matter for individual insurers and reinsurers. This document conveys technical information for a new information management system that is a work in progress.  Adjustments and changes are being made regularly to promote efficiency and information flow.  The document serves only this limited purpose.  It does not address or give guidance on the merits or substance of any claim or class of claims, and it is not relevant to how or when claims are handled or otherwise managed.  All such matters are for the insurers and/or reinsurers underwriting a placement to which a claim is made. This document and the information it contains are entirely without prejudice to those underwriters and to any claim.</w:t>
      </w:r>
    </w:p>
    <w:p w:rsidR="00B24D97" w:rsidRPr="00D64309" w:rsidRDefault="00B24D97" w:rsidP="009C5E80">
      <w:pPr>
        <w:rPr>
          <w:rFonts w:cs="Arial"/>
        </w:rPr>
      </w:pPr>
      <w:r w:rsidRPr="00D64309">
        <w:rPr>
          <w:rFonts w:cs="Arial"/>
        </w:rPr>
        <w:t>The technical information in this document addresses processing via the Electronic Claims File (ECF) system. The document is currently owned by</w:t>
      </w:r>
      <w:r w:rsidR="00282281" w:rsidRPr="00D64309">
        <w:rPr>
          <w:rFonts w:cs="Arial"/>
        </w:rPr>
        <w:t xml:space="preserve"> the Associations Administration Committee and the ECF User Group</w:t>
      </w:r>
      <w:r w:rsidRPr="00D64309">
        <w:rPr>
          <w:rFonts w:cs="Arial"/>
        </w:rPr>
        <w:t xml:space="preserve"> and is subject to continuous review and publication that will be managed by a change control process. It will be updated as appropriate to coincide with releases and upgrades of the Electronic Claims File.</w:t>
      </w:r>
    </w:p>
    <w:p w:rsidR="00B24D97" w:rsidRPr="00D64309" w:rsidRDefault="00B24D97" w:rsidP="009C5E80">
      <w:pPr>
        <w:rPr>
          <w:rFonts w:cs="Arial"/>
        </w:rPr>
      </w:pPr>
      <w:r w:rsidRPr="00D64309">
        <w:rPr>
          <w:rFonts w:cs="Arial"/>
        </w:rPr>
        <w:t>This current version is for Brokers, Lloyd's Managing Agents and XCS using Electronic Claims File (ECF) in support of Lloyd's Claims Schemes. The ECF presents the IMR and CLASS@Lloyd's as a single integrated service for Lloyd’s Managing Agents and XCS. It remains two separate services for brokers.</w:t>
      </w:r>
    </w:p>
    <w:p w:rsidR="00B24D97" w:rsidRPr="00D64309" w:rsidRDefault="00B24D97" w:rsidP="009C5E80">
      <w:pPr>
        <w:rPr>
          <w:rFonts w:cs="Arial"/>
        </w:rPr>
      </w:pPr>
      <w:r w:rsidRPr="00D64309">
        <w:rPr>
          <w:rFonts w:cs="Arial"/>
        </w:rPr>
        <w:t>This document aims to be used by the London subscription market.</w:t>
      </w:r>
    </w:p>
    <w:p w:rsidR="00B24D97" w:rsidRPr="00D64309" w:rsidRDefault="00B24D97" w:rsidP="009C5E80">
      <w:pPr>
        <w:rPr>
          <w:rFonts w:cs="Arial"/>
        </w:rPr>
      </w:pPr>
      <w:r w:rsidRPr="00C36E94">
        <w:rPr>
          <w:rFonts w:cs="Arial"/>
        </w:rPr>
        <w:t xml:space="preserve">Care should be taken to ensure that the latest version is being used; any previous versions are superseded by this version. The document is available through the </w:t>
      </w:r>
      <w:r w:rsidR="007337F9" w:rsidRPr="00C36E94">
        <w:rPr>
          <w:rFonts w:cs="Arial"/>
        </w:rPr>
        <w:t xml:space="preserve">ECF </w:t>
      </w:r>
      <w:r w:rsidRPr="00C36E94">
        <w:rPr>
          <w:rFonts w:cs="Arial"/>
        </w:rPr>
        <w:t xml:space="preserve">website: </w:t>
      </w:r>
      <w:r w:rsidR="007337F9" w:rsidRPr="00C36E94">
        <w:rPr>
          <w:rFonts w:cs="Arial"/>
        </w:rPr>
        <w:t xml:space="preserve"> www.ecfinfo.com</w:t>
      </w:r>
    </w:p>
    <w:p w:rsidR="00B24D97" w:rsidRPr="00D64309" w:rsidRDefault="00B24D97" w:rsidP="009C5E80">
      <w:pPr>
        <w:rPr>
          <w:rFonts w:cs="Arial"/>
        </w:rPr>
      </w:pPr>
      <w:r w:rsidRPr="00C36E94">
        <w:rPr>
          <w:rFonts w:cs="Arial"/>
        </w:rPr>
        <w:t xml:space="preserve">Any comments or suggested changes should be directed to the </w:t>
      </w:r>
      <w:r w:rsidR="007337F9" w:rsidRPr="00C36E94">
        <w:rPr>
          <w:rFonts w:cs="Arial"/>
        </w:rPr>
        <w:t xml:space="preserve">ECFUG </w:t>
      </w:r>
      <w:r w:rsidRPr="00C36E94">
        <w:rPr>
          <w:rFonts w:cs="Arial"/>
        </w:rPr>
        <w:t xml:space="preserve">via the following email address: </w:t>
      </w:r>
      <w:r w:rsidR="007337F9" w:rsidRPr="00C36E94">
        <w:rPr>
          <w:rStyle w:val="Hyperlink"/>
          <w:rFonts w:cs="Arial"/>
        </w:rPr>
        <w:t xml:space="preserve"> ecffocusgroup@lmalloyds.com</w:t>
      </w:r>
    </w:p>
    <w:p w:rsidR="00B24D97" w:rsidRPr="00D64309" w:rsidRDefault="00B24D97" w:rsidP="00BE566F">
      <w:pPr>
        <w:pStyle w:val="Bullets"/>
        <w:rPr>
          <w:rFonts w:cs="Arial"/>
          <w:b/>
        </w:rPr>
      </w:pPr>
      <w:r w:rsidRPr="00D64309">
        <w:rPr>
          <w:rFonts w:cs="Arial"/>
          <w:b/>
        </w:rPr>
        <w:t>It is important to note that claims created prior to 8</w:t>
      </w:r>
      <w:r w:rsidRPr="00D64309">
        <w:rPr>
          <w:rFonts w:cs="Arial"/>
          <w:b/>
          <w:vertAlign w:val="superscript"/>
        </w:rPr>
        <w:t>th</w:t>
      </w:r>
      <w:r w:rsidRPr="00D64309">
        <w:rPr>
          <w:rFonts w:cs="Arial"/>
          <w:b/>
        </w:rPr>
        <w:t xml:space="preserve"> May 2007 will continue to be processed using the previous (Phase 5) ECF functionality. Therefore, in some circumstances it may be appropriate to continue to refer to Version 2.0 (web) of this document. This remains to be available from the </w:t>
      </w:r>
      <w:r w:rsidR="00B317F2" w:rsidRPr="00D64309">
        <w:rPr>
          <w:rFonts w:cs="Arial"/>
          <w:b/>
        </w:rPr>
        <w:t>LMG</w:t>
      </w:r>
      <w:r w:rsidRPr="00D64309">
        <w:rPr>
          <w:rFonts w:cs="Arial"/>
          <w:b/>
        </w:rPr>
        <w:t xml:space="preserve"> website as above.</w:t>
      </w:r>
    </w:p>
    <w:p w:rsidR="005B3189" w:rsidRDefault="005B3189" w:rsidP="00B24D97">
      <w:pPr>
        <w:pStyle w:val="Bullets"/>
        <w:numPr>
          <w:ilvl w:val="0"/>
          <w:numId w:val="0"/>
        </w:numPr>
        <w:ind w:left="397"/>
        <w:rPr>
          <w:rFonts w:cs="Arial"/>
          <w:b/>
        </w:rPr>
      </w:pPr>
    </w:p>
    <w:p w:rsidR="00B24D97" w:rsidRPr="00335174" w:rsidRDefault="00B24D97" w:rsidP="00335174">
      <w:pPr>
        <w:pStyle w:val="Bullets"/>
        <w:numPr>
          <w:ilvl w:val="0"/>
          <w:numId w:val="0"/>
        </w:numPr>
        <w:rPr>
          <w:rFonts w:cs="Arial"/>
        </w:rPr>
      </w:pPr>
      <w:r w:rsidRPr="00335174">
        <w:rPr>
          <w:rFonts w:cs="Arial"/>
        </w:rPr>
        <w:t xml:space="preserve">THIS VERSION OF SP&amp;P IS APPLICABLE FOR USERS OF THE UPGRADED VERSION OF ECF KNOWN AS ECF2 BUT AT AN OVERVIEW LEVEL. </w:t>
      </w:r>
      <w:r w:rsidR="00B317F2" w:rsidRPr="00335174">
        <w:rPr>
          <w:rFonts w:cs="Arial"/>
        </w:rPr>
        <w:t xml:space="preserve">USER GUIDES FOR ECF2 CAN BE FOUND ON THE </w:t>
      </w:r>
      <w:r w:rsidR="007337F9" w:rsidRPr="00335174">
        <w:rPr>
          <w:rFonts w:cs="Arial"/>
        </w:rPr>
        <w:t>ECF</w:t>
      </w:r>
      <w:r w:rsidR="00E818B5" w:rsidRPr="00335174">
        <w:rPr>
          <w:rFonts w:cs="Arial"/>
        </w:rPr>
        <w:t xml:space="preserve"> WEBSITE AND BE ACCESSED FROM THE XCHANGING DOCUMENT STORE </w:t>
      </w:r>
      <w:hyperlink r:id="rId9" w:history="1">
        <w:r w:rsidR="00E818B5" w:rsidRPr="00335174">
          <w:rPr>
            <w:rStyle w:val="Hyperlink"/>
            <w:rFonts w:cs="Arial"/>
            <w:lang w:val="en-US"/>
          </w:rPr>
          <w:t>https://ecfdocs.xchanging.com</w:t>
        </w:r>
      </w:hyperlink>
      <w:r w:rsidR="00E818B5" w:rsidRPr="00335174">
        <w:rPr>
          <w:rFonts w:cs="Arial"/>
          <w:lang w:val="en-US"/>
        </w:rPr>
        <w:t>. A LOG IN IS REQUIRED FROM XCHANGING TO ACCESS THIS SITE, PLEASE CONTACT THE XCHANGING SERVICE CENTRE FOR SET UP.</w:t>
      </w:r>
    </w:p>
    <w:p w:rsidR="002A0406" w:rsidRPr="00D64309" w:rsidRDefault="002A0406" w:rsidP="00B24D97">
      <w:pPr>
        <w:pStyle w:val="Bullets"/>
        <w:numPr>
          <w:ilvl w:val="0"/>
          <w:numId w:val="0"/>
        </w:numPr>
        <w:ind w:left="397"/>
        <w:rPr>
          <w:rFonts w:cs="Arial"/>
          <w:b/>
        </w:rPr>
      </w:pPr>
    </w:p>
    <w:p w:rsidR="00B24D97" w:rsidRPr="00335174" w:rsidRDefault="00B24D97" w:rsidP="00B24D97">
      <w:pPr>
        <w:pStyle w:val="Bullets"/>
        <w:numPr>
          <w:ilvl w:val="0"/>
          <w:numId w:val="0"/>
        </w:numPr>
        <w:rPr>
          <w:rFonts w:cs="Arial"/>
          <w:b/>
          <w:caps/>
        </w:rPr>
      </w:pPr>
      <w:bookmarkStart w:id="4" w:name="_Toc112226799"/>
      <w:bookmarkStart w:id="5" w:name="_Toc134427260"/>
      <w:bookmarkStart w:id="6" w:name="_Toc142277018"/>
      <w:bookmarkStart w:id="7" w:name="_Toc144017830"/>
      <w:r w:rsidRPr="00335174">
        <w:rPr>
          <w:rFonts w:cs="Arial"/>
          <w:b/>
        </w:rPr>
        <w:t xml:space="preserve">LMA LMCG High Level Framework </w:t>
      </w:r>
      <w:bookmarkEnd w:id="4"/>
      <w:bookmarkEnd w:id="5"/>
      <w:r w:rsidRPr="00335174">
        <w:rPr>
          <w:rFonts w:cs="Arial"/>
          <w:b/>
        </w:rPr>
        <w:t>Principles</w:t>
      </w:r>
      <w:bookmarkEnd w:id="6"/>
      <w:bookmarkEnd w:id="7"/>
    </w:p>
    <w:p w:rsidR="00B24D97" w:rsidRPr="00D64309" w:rsidRDefault="00B24D97" w:rsidP="00313389">
      <w:pPr>
        <w:rPr>
          <w:rFonts w:cs="Arial"/>
        </w:rPr>
      </w:pPr>
      <w:r w:rsidRPr="00D64309">
        <w:rPr>
          <w:rFonts w:cs="Arial"/>
        </w:rPr>
        <w:t xml:space="preserve">The following are a set of strategic generic principles on which the ECF project and this document was based. These rules have been approved by the </w:t>
      </w:r>
      <w:r w:rsidRPr="004D64FB">
        <w:rPr>
          <w:rFonts w:cs="Arial"/>
        </w:rPr>
        <w:t>Lloyd’s Market Claims Group (LMCG) and Electronic Claims Practitioners Group (ECPG).</w:t>
      </w:r>
    </w:p>
    <w:p w:rsidR="00B24D97" w:rsidRPr="00D64309" w:rsidRDefault="00B24D97" w:rsidP="00313389">
      <w:pPr>
        <w:pStyle w:val="Bullets"/>
        <w:spacing w:after="120"/>
        <w:rPr>
          <w:rFonts w:cs="Arial"/>
        </w:rPr>
      </w:pPr>
      <w:r w:rsidRPr="00D64309">
        <w:rPr>
          <w:rFonts w:cs="Arial"/>
        </w:rPr>
        <w:t xml:space="preserve">It is the Insurers’ file </w:t>
      </w:r>
    </w:p>
    <w:p w:rsidR="00B24D97" w:rsidRPr="00D64309" w:rsidRDefault="00B24D97" w:rsidP="00313389">
      <w:pPr>
        <w:pStyle w:val="Bullets"/>
        <w:spacing w:after="120"/>
        <w:rPr>
          <w:rFonts w:cs="Arial"/>
        </w:rPr>
      </w:pPr>
      <w:r w:rsidRPr="00D64309">
        <w:rPr>
          <w:rFonts w:cs="Arial"/>
        </w:rPr>
        <w:t>Claims Agreement Parties must be defined on the placing slip (per LMP slip requirements) or will default to applicable version of the Lloyd’s Claims Scheme.</w:t>
      </w:r>
    </w:p>
    <w:p w:rsidR="00B24D97" w:rsidRPr="00D64309" w:rsidRDefault="00B24D97" w:rsidP="00313389">
      <w:pPr>
        <w:pStyle w:val="Bullets"/>
        <w:spacing w:after="120"/>
        <w:rPr>
          <w:rFonts w:cs="Arial"/>
        </w:rPr>
      </w:pPr>
      <w:r w:rsidRPr="00D64309">
        <w:rPr>
          <w:rFonts w:cs="Arial"/>
        </w:rPr>
        <w:t>Claims Agreement Parties and the following market must be captured electronically at the earliest opportunity (e.g. when recording the original signing number and date or FDO or delinked entry).</w:t>
      </w:r>
    </w:p>
    <w:p w:rsidR="00B24D97" w:rsidRPr="00D64309" w:rsidRDefault="00B24D97" w:rsidP="00313389">
      <w:pPr>
        <w:pStyle w:val="Bullets"/>
        <w:spacing w:after="120"/>
        <w:rPr>
          <w:rFonts w:cs="Arial"/>
        </w:rPr>
      </w:pPr>
      <w:r w:rsidRPr="00D64309">
        <w:rPr>
          <w:rFonts w:cs="Arial"/>
        </w:rPr>
        <w:lastRenderedPageBreak/>
        <w:t>Placing information must be recorded in the repository with the appropriate referencing as the Unique Claims Reference (UCR) links to the placing Unique Market Reference (UMR).</w:t>
      </w:r>
    </w:p>
    <w:p w:rsidR="00B24D97" w:rsidRPr="00D64309" w:rsidRDefault="00B24D97" w:rsidP="00313389">
      <w:pPr>
        <w:pStyle w:val="Bullets"/>
        <w:spacing w:after="120"/>
        <w:rPr>
          <w:rFonts w:cs="Arial"/>
        </w:rPr>
      </w:pPr>
      <w:r w:rsidRPr="00D64309">
        <w:rPr>
          <w:rFonts w:cs="Arial"/>
        </w:rPr>
        <w:t>Placing information encompasses all information required by a claims adjuster to agree a claim including but not limited to information referenced on the slip.</w:t>
      </w:r>
    </w:p>
    <w:p w:rsidR="00B24D97" w:rsidRPr="00D64309" w:rsidRDefault="00B24D97" w:rsidP="00313389">
      <w:pPr>
        <w:pStyle w:val="Bullets"/>
        <w:spacing w:after="120"/>
        <w:rPr>
          <w:rFonts w:cs="Arial"/>
        </w:rPr>
      </w:pPr>
      <w:r w:rsidRPr="00D64309">
        <w:rPr>
          <w:rFonts w:cs="Arial"/>
        </w:rPr>
        <w:t>Brokers (and potentially Trusted Third Parties) will continue to deliver claims to Insurers but this will be electronically via ECF (CLASS and Repository)</w:t>
      </w:r>
    </w:p>
    <w:p w:rsidR="00B24D97" w:rsidRPr="00D64309" w:rsidRDefault="00B24D97" w:rsidP="00313389">
      <w:pPr>
        <w:pStyle w:val="Bullets"/>
        <w:spacing w:after="120"/>
        <w:rPr>
          <w:rFonts w:cs="Arial"/>
        </w:rPr>
      </w:pPr>
      <w:r w:rsidRPr="00D64309">
        <w:rPr>
          <w:rFonts w:cs="Arial"/>
        </w:rPr>
        <w:t>A Broker will not be required to visit the insurer (but may choose to do so if either party deem it necessary)</w:t>
      </w:r>
    </w:p>
    <w:p w:rsidR="00B24D97" w:rsidRPr="00E818B5" w:rsidRDefault="00B24D97" w:rsidP="00313389">
      <w:pPr>
        <w:pStyle w:val="Bullets"/>
        <w:spacing w:after="120"/>
        <w:rPr>
          <w:rFonts w:cs="Arial"/>
        </w:rPr>
      </w:pPr>
      <w:r w:rsidRPr="00E818B5">
        <w:rPr>
          <w:rFonts w:cs="Arial"/>
        </w:rPr>
        <w:t>Notification will routinely be via CLASS alerting the insurers to a new claim or movement by the way of the “Awaiting Action Lists” (split between Claims Agreement Parties and Followers)</w:t>
      </w:r>
      <w:r w:rsidR="007337F9" w:rsidRPr="00E818B5">
        <w:rPr>
          <w:rFonts w:cs="Arial"/>
        </w:rPr>
        <w:t xml:space="preserve"> or by use of CWT (Claims Workflow Triggers) or CWS (Claims Workflow Services)</w:t>
      </w:r>
    </w:p>
    <w:p w:rsidR="00B24D97" w:rsidRPr="00D64309" w:rsidRDefault="00B24D97" w:rsidP="00313389">
      <w:pPr>
        <w:pStyle w:val="Bullets"/>
        <w:spacing w:after="120"/>
        <w:rPr>
          <w:rFonts w:cs="Arial"/>
        </w:rPr>
      </w:pPr>
      <w:r w:rsidRPr="00D64309">
        <w:rPr>
          <w:rFonts w:cs="Arial"/>
        </w:rPr>
        <w:t>All insurers on a risk/claim will have concurrent access to the claims file information.</w:t>
      </w:r>
    </w:p>
    <w:p w:rsidR="00B24D97" w:rsidRPr="00D64309" w:rsidRDefault="00B24D97" w:rsidP="00313389">
      <w:pPr>
        <w:pStyle w:val="Bullets"/>
        <w:spacing w:after="120"/>
        <w:rPr>
          <w:rFonts w:cs="Arial"/>
        </w:rPr>
      </w:pPr>
      <w:r w:rsidRPr="00D64309">
        <w:rPr>
          <w:rFonts w:cs="Arial"/>
        </w:rPr>
        <w:t>Control of access rights to the documents and their layout in the file (via classifications – see below) will pass to the</w:t>
      </w:r>
      <w:r w:rsidR="001F74AE">
        <w:rPr>
          <w:rFonts w:cs="Arial"/>
        </w:rPr>
        <w:t xml:space="preserve"> first Bureau</w:t>
      </w:r>
      <w:r w:rsidRPr="00D64309">
        <w:rPr>
          <w:rFonts w:cs="Arial"/>
        </w:rPr>
        <w:t xml:space="preserve"> Lead Agreement Party once both financial and supporting data has been successfully loaded to the system and passed validation criteria.</w:t>
      </w:r>
    </w:p>
    <w:p w:rsidR="00B24D97" w:rsidRPr="00D64309" w:rsidRDefault="00B24D97" w:rsidP="00313389">
      <w:pPr>
        <w:pStyle w:val="Bullets"/>
        <w:spacing w:after="120"/>
        <w:rPr>
          <w:rFonts w:cs="Arial"/>
        </w:rPr>
      </w:pPr>
      <w:r w:rsidRPr="00D64309">
        <w:rPr>
          <w:rFonts w:cs="Arial"/>
        </w:rPr>
        <w:t>Documents may be “classified” by the Lead Agreement Party alone to facilitate easy sorting/filtering via a “tab” button. See next bullet point.</w:t>
      </w:r>
    </w:p>
    <w:p w:rsidR="00B24D97" w:rsidRPr="00D64309" w:rsidRDefault="00B24D97" w:rsidP="00313389">
      <w:pPr>
        <w:pStyle w:val="Bullets"/>
        <w:spacing w:after="120"/>
        <w:rPr>
          <w:rFonts w:cs="Arial"/>
        </w:rPr>
      </w:pPr>
      <w:r w:rsidRPr="00D64309">
        <w:rPr>
          <w:rFonts w:cs="Arial"/>
        </w:rPr>
        <w:t xml:space="preserve">Brokers will be unable to view documents classified as “Coverage” that </w:t>
      </w:r>
      <w:r w:rsidR="001F74AE">
        <w:rPr>
          <w:rFonts w:cs="Arial"/>
        </w:rPr>
        <w:t>have</w:t>
      </w:r>
      <w:r w:rsidRPr="00D64309">
        <w:rPr>
          <w:rFonts w:cs="Arial"/>
        </w:rPr>
        <w:t xml:space="preserve"> be</w:t>
      </w:r>
      <w:r w:rsidR="001F74AE">
        <w:rPr>
          <w:rFonts w:cs="Arial"/>
        </w:rPr>
        <w:t>en</w:t>
      </w:r>
      <w:r w:rsidRPr="00D64309">
        <w:rPr>
          <w:rFonts w:cs="Arial"/>
        </w:rPr>
        <w:t xml:space="preserve"> classified as coverage by Lead Agreement Party. </w:t>
      </w:r>
      <w:bookmarkStart w:id="8" w:name="OLE_LINK3"/>
      <w:r w:rsidRPr="00D64309">
        <w:rPr>
          <w:rFonts w:cs="Arial"/>
        </w:rPr>
        <w:t>However, if the document is loaded by the broker, they will always retain access to that document regardless of the classification</w:t>
      </w:r>
      <w:bookmarkEnd w:id="8"/>
      <w:r w:rsidRPr="00D64309">
        <w:rPr>
          <w:rFonts w:cs="Arial"/>
        </w:rPr>
        <w:t>.</w:t>
      </w:r>
    </w:p>
    <w:p w:rsidR="00B24D97" w:rsidRPr="00D64309" w:rsidRDefault="00B24D97" w:rsidP="00313389">
      <w:pPr>
        <w:pStyle w:val="Bullets"/>
        <w:spacing w:after="120"/>
        <w:rPr>
          <w:rFonts w:cs="Arial"/>
        </w:rPr>
      </w:pPr>
      <w:r w:rsidRPr="00D64309">
        <w:rPr>
          <w:rFonts w:cs="Arial"/>
        </w:rPr>
        <w:t>It is “best practice” that Brokers should supply a “date of document origination” (as normally appearing on the face of any report / correspondence).</w:t>
      </w:r>
    </w:p>
    <w:p w:rsidR="00B24D97" w:rsidRPr="00D64309" w:rsidRDefault="00B24D97" w:rsidP="00313389">
      <w:pPr>
        <w:pStyle w:val="Bullets"/>
        <w:spacing w:after="120"/>
        <w:rPr>
          <w:rFonts w:cs="Arial"/>
        </w:rPr>
      </w:pPr>
      <w:r w:rsidRPr="00D64309">
        <w:rPr>
          <w:rFonts w:cs="Arial"/>
        </w:rPr>
        <w:t>Individual reports must each be loaded independently.</w:t>
      </w:r>
    </w:p>
    <w:p w:rsidR="00B24D97" w:rsidRPr="00D64309" w:rsidRDefault="00B24D97" w:rsidP="00313389">
      <w:pPr>
        <w:pStyle w:val="Bullets"/>
        <w:spacing w:after="120"/>
        <w:rPr>
          <w:rFonts w:cs="Arial"/>
        </w:rPr>
      </w:pPr>
      <w:r w:rsidRPr="00D64309">
        <w:rPr>
          <w:rFonts w:cs="Arial"/>
        </w:rPr>
        <w:t>CLASS messages will also be employed in addition to existing methods of raising issues/concerns about a claim between insurers and/or Broker during the agreement process. i.e. Email/Phone/Fax/Face to Face.</w:t>
      </w:r>
    </w:p>
    <w:p w:rsidR="00B24D97" w:rsidRPr="00D64309" w:rsidRDefault="00B24D97" w:rsidP="00313389">
      <w:pPr>
        <w:pStyle w:val="Bullets"/>
        <w:spacing w:after="120"/>
        <w:rPr>
          <w:rFonts w:cs="Arial"/>
        </w:rPr>
      </w:pPr>
      <w:r w:rsidRPr="00D64309">
        <w:rPr>
          <w:rFonts w:cs="Arial"/>
        </w:rPr>
        <w:t>Brokers must read public comments attached to each response made by an Agreement Party.</w:t>
      </w:r>
    </w:p>
    <w:p w:rsidR="005D6535" w:rsidRDefault="005D6535">
      <w:pPr>
        <w:spacing w:after="0"/>
        <w:jc w:val="left"/>
        <w:rPr>
          <w:rFonts w:cs="Arial"/>
          <w:b/>
          <w:bCs/>
          <w:caps/>
          <w:sz w:val="22"/>
          <w:szCs w:val="22"/>
        </w:rPr>
      </w:pPr>
      <w:bookmarkStart w:id="9" w:name="_Toc389214775"/>
      <w:r>
        <w:rPr>
          <w:rFonts w:cs="Arial"/>
          <w:bCs/>
        </w:rPr>
        <w:br w:type="page"/>
      </w:r>
    </w:p>
    <w:p w:rsidR="00B24D97" w:rsidRPr="005D6535" w:rsidRDefault="00B24D97" w:rsidP="00335174">
      <w:pPr>
        <w:pStyle w:val="Heading1"/>
        <w:tabs>
          <w:tab w:val="clear" w:pos="432"/>
          <w:tab w:val="num" w:pos="426"/>
        </w:tabs>
      </w:pPr>
      <w:bookmarkStart w:id="10" w:name="_Toc396989111"/>
      <w:r w:rsidRPr="005D6535">
        <w:lastRenderedPageBreak/>
        <w:t>Document Control</w:t>
      </w:r>
      <w:bookmarkEnd w:id="9"/>
      <w:bookmarkEnd w:id="10"/>
    </w:p>
    <w:tbl>
      <w:tblPr>
        <w:tblW w:w="9197"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781"/>
        <w:gridCol w:w="3105"/>
        <w:gridCol w:w="1417"/>
        <w:gridCol w:w="1560"/>
        <w:gridCol w:w="1316"/>
      </w:tblGrid>
      <w:tr w:rsidR="00B24D97" w:rsidRPr="00D64309" w:rsidTr="00267119">
        <w:trPr>
          <w:tblHeader/>
          <w:jc w:val="center"/>
        </w:trPr>
        <w:tc>
          <w:tcPr>
            <w:tcW w:w="1018" w:type="dxa"/>
            <w:shd w:val="clear" w:color="auto" w:fill="C0C0C0"/>
            <w:tcMar>
              <w:top w:w="57" w:type="dxa"/>
              <w:left w:w="57" w:type="dxa"/>
              <w:right w:w="57" w:type="dxa"/>
            </w:tcMar>
            <w:vAlign w:val="bottom"/>
          </w:tcPr>
          <w:p w:rsidR="00B24D97" w:rsidRPr="00D64309" w:rsidRDefault="00B24D97" w:rsidP="00267119">
            <w:pPr>
              <w:spacing w:before="120" w:after="120"/>
              <w:jc w:val="left"/>
              <w:rPr>
                <w:rFonts w:cs="Arial"/>
                <w:b/>
                <w:sz w:val="16"/>
                <w:szCs w:val="16"/>
              </w:rPr>
            </w:pPr>
            <w:r w:rsidRPr="00D64309">
              <w:rPr>
                <w:rFonts w:cs="Arial"/>
                <w:b/>
                <w:sz w:val="16"/>
                <w:szCs w:val="16"/>
              </w:rPr>
              <w:t>Date Published</w:t>
            </w:r>
          </w:p>
        </w:tc>
        <w:tc>
          <w:tcPr>
            <w:tcW w:w="781" w:type="dxa"/>
            <w:shd w:val="clear" w:color="auto" w:fill="C0C0C0"/>
            <w:tcMar>
              <w:top w:w="57" w:type="dxa"/>
              <w:left w:w="57" w:type="dxa"/>
              <w:right w:w="57" w:type="dxa"/>
            </w:tcMar>
            <w:vAlign w:val="bottom"/>
          </w:tcPr>
          <w:p w:rsidR="00B24D97" w:rsidRPr="00D64309" w:rsidRDefault="00B24D97" w:rsidP="00267119">
            <w:pPr>
              <w:spacing w:before="120" w:after="120"/>
              <w:jc w:val="left"/>
              <w:rPr>
                <w:rFonts w:cs="Arial"/>
                <w:b/>
                <w:sz w:val="16"/>
                <w:szCs w:val="16"/>
              </w:rPr>
            </w:pPr>
            <w:r w:rsidRPr="00D64309">
              <w:rPr>
                <w:rFonts w:cs="Arial"/>
                <w:b/>
                <w:sz w:val="16"/>
                <w:szCs w:val="16"/>
              </w:rPr>
              <w:t>SP&amp;P Version Number</w:t>
            </w:r>
          </w:p>
        </w:tc>
        <w:tc>
          <w:tcPr>
            <w:tcW w:w="3105" w:type="dxa"/>
            <w:shd w:val="clear" w:color="auto" w:fill="C0C0C0"/>
            <w:tcMar>
              <w:top w:w="57" w:type="dxa"/>
              <w:left w:w="57" w:type="dxa"/>
              <w:right w:w="57" w:type="dxa"/>
            </w:tcMar>
            <w:vAlign w:val="bottom"/>
          </w:tcPr>
          <w:p w:rsidR="00B24D97" w:rsidRPr="00D64309" w:rsidRDefault="00B24D97" w:rsidP="00267119">
            <w:pPr>
              <w:spacing w:before="120" w:after="120"/>
              <w:jc w:val="left"/>
              <w:rPr>
                <w:rFonts w:cs="Arial"/>
                <w:b/>
                <w:sz w:val="16"/>
                <w:szCs w:val="16"/>
              </w:rPr>
            </w:pPr>
            <w:r w:rsidRPr="00D64309">
              <w:rPr>
                <w:rFonts w:cs="Arial"/>
                <w:b/>
                <w:sz w:val="16"/>
                <w:szCs w:val="16"/>
              </w:rPr>
              <w:t>Summary of Changes From Previous Version</w:t>
            </w:r>
          </w:p>
        </w:tc>
        <w:tc>
          <w:tcPr>
            <w:tcW w:w="1417" w:type="dxa"/>
            <w:shd w:val="clear" w:color="auto" w:fill="C0C0C0"/>
            <w:tcMar>
              <w:top w:w="57" w:type="dxa"/>
              <w:left w:w="57" w:type="dxa"/>
              <w:right w:w="57" w:type="dxa"/>
            </w:tcMar>
            <w:vAlign w:val="bottom"/>
          </w:tcPr>
          <w:p w:rsidR="00B24D97" w:rsidRPr="00D64309" w:rsidRDefault="00B24D97" w:rsidP="00267119">
            <w:pPr>
              <w:spacing w:before="120" w:after="120"/>
              <w:jc w:val="left"/>
              <w:rPr>
                <w:rFonts w:cs="Arial"/>
                <w:b/>
                <w:sz w:val="16"/>
                <w:szCs w:val="16"/>
              </w:rPr>
            </w:pPr>
            <w:r w:rsidRPr="00D64309">
              <w:rPr>
                <w:rFonts w:cs="Arial"/>
                <w:b/>
                <w:sz w:val="16"/>
                <w:szCs w:val="16"/>
              </w:rPr>
              <w:t>Applicable ECF Version</w:t>
            </w:r>
          </w:p>
        </w:tc>
        <w:tc>
          <w:tcPr>
            <w:tcW w:w="1560" w:type="dxa"/>
            <w:shd w:val="clear" w:color="auto" w:fill="C0C0C0"/>
            <w:tcMar>
              <w:top w:w="57" w:type="dxa"/>
            </w:tcMar>
            <w:vAlign w:val="bottom"/>
          </w:tcPr>
          <w:p w:rsidR="00B24D97" w:rsidRPr="00D64309" w:rsidRDefault="00B24D97" w:rsidP="00267119">
            <w:pPr>
              <w:spacing w:before="120" w:after="120"/>
              <w:ind w:right="-108"/>
              <w:jc w:val="left"/>
              <w:rPr>
                <w:rFonts w:cs="Arial"/>
                <w:b/>
                <w:sz w:val="16"/>
                <w:szCs w:val="16"/>
              </w:rPr>
            </w:pPr>
            <w:r w:rsidRPr="00D64309">
              <w:rPr>
                <w:rFonts w:cs="Arial"/>
                <w:b/>
                <w:sz w:val="16"/>
                <w:szCs w:val="16"/>
              </w:rPr>
              <w:t>Applicable Repository Rules Version</w:t>
            </w:r>
          </w:p>
        </w:tc>
        <w:tc>
          <w:tcPr>
            <w:tcW w:w="1316" w:type="dxa"/>
            <w:shd w:val="clear" w:color="auto" w:fill="C0C0C0"/>
            <w:tcMar>
              <w:top w:w="57" w:type="dxa"/>
              <w:left w:w="57" w:type="dxa"/>
              <w:right w:w="57" w:type="dxa"/>
            </w:tcMar>
            <w:vAlign w:val="bottom"/>
          </w:tcPr>
          <w:p w:rsidR="00B24D97" w:rsidRPr="00D64309" w:rsidRDefault="00B24D97" w:rsidP="00267119">
            <w:pPr>
              <w:spacing w:before="120" w:after="120"/>
              <w:jc w:val="left"/>
              <w:rPr>
                <w:rFonts w:cs="Arial"/>
                <w:b/>
                <w:sz w:val="16"/>
                <w:szCs w:val="16"/>
              </w:rPr>
            </w:pPr>
            <w:r w:rsidRPr="00D64309">
              <w:rPr>
                <w:rFonts w:cs="Arial"/>
                <w:b/>
                <w:sz w:val="16"/>
                <w:szCs w:val="16"/>
              </w:rPr>
              <w:t>Applicable User Guide Version</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N/A</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0.75</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version 00n following final SP&amp;P Review by members of ECPG and BEFIT on 30</w:t>
            </w:r>
            <w:r w:rsidRPr="00D64309">
              <w:rPr>
                <w:rFonts w:cs="Arial"/>
                <w:sz w:val="16"/>
                <w:szCs w:val="16"/>
                <w:vertAlign w:val="superscript"/>
              </w:rPr>
              <w:t>th</w:t>
            </w:r>
            <w:r w:rsidRPr="00D64309">
              <w:rPr>
                <w:rFonts w:cs="Arial"/>
                <w:sz w:val="16"/>
                <w:szCs w:val="16"/>
              </w:rPr>
              <w:t xml:space="preserve"> August 2006</w:t>
            </w:r>
          </w:p>
        </w:tc>
        <w:tc>
          <w:tcPr>
            <w:tcW w:w="1417" w:type="dxa"/>
            <w:tcMar>
              <w:top w:w="57" w:type="dxa"/>
            </w:tcMar>
          </w:tcPr>
          <w:p w:rsidR="00B24D97" w:rsidRPr="00D64309" w:rsidRDefault="00B24D97" w:rsidP="00267119">
            <w:pPr>
              <w:spacing w:before="120" w:after="120"/>
              <w:jc w:val="left"/>
              <w:rPr>
                <w:rFonts w:cs="Arial"/>
                <w:sz w:val="16"/>
                <w:szCs w:val="16"/>
              </w:rPr>
            </w:pPr>
            <w:r w:rsidRPr="00D64309">
              <w:rPr>
                <w:rFonts w:cs="Arial"/>
                <w:sz w:val="16"/>
                <w:szCs w:val="16"/>
              </w:rPr>
              <w:t>Phase 5</w:t>
            </w:r>
            <w:r w:rsidR="00267119">
              <w:rPr>
                <w:rFonts w:cs="Arial"/>
                <w:sz w:val="16"/>
                <w:szCs w:val="16"/>
              </w:rPr>
              <w:br/>
            </w:r>
            <w:r w:rsidRPr="00D64309">
              <w:rPr>
                <w:rFonts w:cs="Arial"/>
                <w:sz w:val="16"/>
                <w:szCs w:val="16"/>
              </w:rPr>
              <w:t>(Sept 2006)</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TBC</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TBC</w:t>
            </w:r>
          </w:p>
        </w:tc>
      </w:tr>
      <w:tr w:rsidR="00B24D97" w:rsidRPr="00D64309" w:rsidTr="00267119">
        <w:trPr>
          <w:trHeight w:val="528"/>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08/09/2006</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1.0</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v.0.75 following review of MAT issues at ECPG meeting 31</w:t>
            </w:r>
            <w:r w:rsidRPr="00D64309">
              <w:rPr>
                <w:rFonts w:cs="Arial"/>
                <w:sz w:val="16"/>
                <w:szCs w:val="16"/>
                <w:vertAlign w:val="superscript"/>
              </w:rPr>
              <w:t>st</w:t>
            </w:r>
            <w:r w:rsidRPr="00D64309">
              <w:rPr>
                <w:rFonts w:cs="Arial"/>
                <w:sz w:val="16"/>
                <w:szCs w:val="16"/>
              </w:rPr>
              <w:t xml:space="preserve"> August 2006 and readability review by I. Mallery.</w:t>
            </w:r>
          </w:p>
        </w:tc>
        <w:tc>
          <w:tcPr>
            <w:tcW w:w="1417" w:type="dxa"/>
            <w:tcMar>
              <w:top w:w="57" w:type="dxa"/>
            </w:tcMar>
          </w:tcPr>
          <w:p w:rsidR="00B24D97" w:rsidRPr="00D64309" w:rsidRDefault="00B24D97" w:rsidP="00267119">
            <w:pPr>
              <w:spacing w:before="120" w:after="120"/>
              <w:jc w:val="left"/>
              <w:rPr>
                <w:rFonts w:cs="Arial"/>
                <w:sz w:val="16"/>
                <w:szCs w:val="16"/>
              </w:rPr>
            </w:pPr>
            <w:r w:rsidRPr="00D64309">
              <w:rPr>
                <w:rFonts w:cs="Arial"/>
                <w:sz w:val="16"/>
                <w:szCs w:val="16"/>
              </w:rPr>
              <w:t>Phase 5</w:t>
            </w:r>
            <w:r w:rsidR="00267119">
              <w:rPr>
                <w:rFonts w:cs="Arial"/>
                <w:sz w:val="16"/>
                <w:szCs w:val="16"/>
              </w:rPr>
              <w:br/>
            </w:r>
            <w:r w:rsidRPr="00D64309">
              <w:rPr>
                <w:rFonts w:cs="Arial"/>
                <w:sz w:val="16"/>
                <w:szCs w:val="16"/>
              </w:rPr>
              <w:t>(Sept 2006)</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TBC</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TBC</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11/09/2006</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1.1</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Minor changes to “Aggregates” section</w:t>
            </w:r>
          </w:p>
        </w:tc>
        <w:tc>
          <w:tcPr>
            <w:tcW w:w="1417" w:type="dxa"/>
            <w:tcMar>
              <w:top w:w="57" w:type="dxa"/>
            </w:tcMar>
          </w:tcPr>
          <w:p w:rsidR="00B24D97" w:rsidRPr="00D64309" w:rsidRDefault="00B24D97" w:rsidP="00267119">
            <w:pPr>
              <w:spacing w:before="120" w:after="120"/>
              <w:jc w:val="left"/>
              <w:rPr>
                <w:rFonts w:cs="Arial"/>
                <w:sz w:val="16"/>
                <w:szCs w:val="16"/>
              </w:rPr>
            </w:pPr>
            <w:r w:rsidRPr="00D64309">
              <w:rPr>
                <w:rFonts w:cs="Arial"/>
                <w:sz w:val="16"/>
                <w:szCs w:val="16"/>
              </w:rPr>
              <w:t>Phase 5</w:t>
            </w:r>
            <w:r w:rsidR="00267119">
              <w:rPr>
                <w:rFonts w:cs="Arial"/>
                <w:sz w:val="16"/>
                <w:szCs w:val="16"/>
              </w:rPr>
              <w:br/>
            </w:r>
            <w:r w:rsidRPr="00D64309">
              <w:rPr>
                <w:rFonts w:cs="Arial"/>
                <w:sz w:val="16"/>
                <w:szCs w:val="16"/>
              </w:rPr>
              <w:t>(Sept 2006)</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TBC</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TBC</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11/12/2006</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2.0</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Changes following review by members of ECPG and BEFIT on 23</w:t>
            </w:r>
            <w:r w:rsidRPr="00D64309">
              <w:rPr>
                <w:rFonts w:cs="Arial"/>
                <w:sz w:val="16"/>
                <w:szCs w:val="16"/>
                <w:vertAlign w:val="superscript"/>
              </w:rPr>
              <w:t>rd</w:t>
            </w:r>
            <w:r w:rsidRPr="00D64309">
              <w:rPr>
                <w:rFonts w:cs="Arial"/>
                <w:sz w:val="16"/>
                <w:szCs w:val="16"/>
              </w:rPr>
              <w:t xml:space="preserve"> November 2006. Full log of changes available from the Market Reform website</w:t>
            </w:r>
          </w:p>
        </w:tc>
        <w:tc>
          <w:tcPr>
            <w:tcW w:w="1417" w:type="dxa"/>
            <w:tcMar>
              <w:top w:w="57" w:type="dxa"/>
            </w:tcMar>
          </w:tcPr>
          <w:p w:rsidR="00B24D97" w:rsidRPr="00D64309" w:rsidRDefault="00B24D97" w:rsidP="00267119">
            <w:pPr>
              <w:spacing w:before="120" w:after="120"/>
              <w:jc w:val="left"/>
              <w:rPr>
                <w:rFonts w:cs="Arial"/>
                <w:sz w:val="16"/>
                <w:szCs w:val="16"/>
              </w:rPr>
            </w:pPr>
            <w:r w:rsidRPr="00D64309">
              <w:rPr>
                <w:rFonts w:cs="Arial"/>
                <w:sz w:val="16"/>
                <w:szCs w:val="16"/>
              </w:rPr>
              <w:t>Phase 5</w:t>
            </w:r>
            <w:r w:rsidR="00267119">
              <w:rPr>
                <w:rFonts w:cs="Arial"/>
                <w:sz w:val="16"/>
                <w:szCs w:val="16"/>
              </w:rPr>
              <w:br/>
            </w:r>
            <w:r w:rsidRPr="00D64309">
              <w:rPr>
                <w:rFonts w:cs="Arial"/>
                <w:sz w:val="16"/>
                <w:szCs w:val="16"/>
              </w:rPr>
              <w:t>(Nov 2006)</w:t>
            </w:r>
          </w:p>
        </w:tc>
        <w:tc>
          <w:tcPr>
            <w:tcW w:w="1560" w:type="dxa"/>
            <w:tcMar>
              <w:top w:w="57" w:type="dxa"/>
            </w:tcMar>
          </w:tcPr>
          <w:p w:rsidR="00B24D97" w:rsidRPr="00D64309" w:rsidRDefault="00335174" w:rsidP="00267119">
            <w:pPr>
              <w:spacing w:before="120" w:after="120"/>
              <w:ind w:right="-108"/>
              <w:jc w:val="left"/>
              <w:rPr>
                <w:rFonts w:cs="Arial"/>
                <w:sz w:val="16"/>
                <w:szCs w:val="16"/>
              </w:rPr>
            </w:pPr>
            <w:r>
              <w:rPr>
                <w:rFonts w:cs="Arial"/>
                <w:sz w:val="16"/>
                <w:szCs w:val="16"/>
              </w:rPr>
              <w:t>1</w:t>
            </w:r>
            <w:r w:rsidRPr="00335174">
              <w:rPr>
                <w:rFonts w:cs="Arial"/>
                <w:sz w:val="16"/>
                <w:szCs w:val="16"/>
                <w:vertAlign w:val="superscript"/>
              </w:rPr>
              <w:t>st</w:t>
            </w:r>
            <w:r>
              <w:rPr>
                <w:rFonts w:cs="Arial"/>
                <w:sz w:val="16"/>
                <w:szCs w:val="16"/>
              </w:rPr>
              <w:t xml:space="preserve"> </w:t>
            </w:r>
            <w:r w:rsidR="00B24D97" w:rsidRPr="00D64309">
              <w:rPr>
                <w:rFonts w:cs="Arial"/>
                <w:sz w:val="16"/>
                <w:szCs w:val="16"/>
              </w:rPr>
              <w:t xml:space="preserve">November </w:t>
            </w:r>
            <w:r w:rsidR="00267119">
              <w:rPr>
                <w:rFonts w:cs="Arial"/>
                <w:sz w:val="16"/>
                <w:szCs w:val="16"/>
              </w:rPr>
              <w:t>2</w:t>
            </w:r>
            <w:r w:rsidR="00B24D97" w:rsidRPr="00D64309">
              <w:rPr>
                <w:rFonts w:cs="Arial"/>
                <w:sz w:val="16"/>
                <w:szCs w:val="16"/>
              </w:rPr>
              <w:t>006</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1.4</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08/05/2007</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3.0</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to coincide with release of Phase 6a functionality, following reviews by members of ECPG and BEFIT in March 2007. Full log of changes available from the Market Reform website.</w:t>
            </w:r>
          </w:p>
        </w:tc>
        <w:tc>
          <w:tcPr>
            <w:tcW w:w="1417" w:type="dxa"/>
            <w:tcMar>
              <w:top w:w="57" w:type="dxa"/>
            </w:tcMar>
          </w:tcPr>
          <w:p w:rsidR="00B24D97" w:rsidRPr="00D64309" w:rsidRDefault="00B24D97" w:rsidP="00267119">
            <w:pPr>
              <w:spacing w:before="120" w:after="120"/>
              <w:jc w:val="left"/>
              <w:rPr>
                <w:rFonts w:cs="Arial"/>
                <w:sz w:val="16"/>
                <w:szCs w:val="16"/>
              </w:rPr>
            </w:pPr>
            <w:r w:rsidRPr="00D64309">
              <w:rPr>
                <w:rFonts w:cs="Arial"/>
                <w:sz w:val="16"/>
                <w:szCs w:val="16"/>
              </w:rPr>
              <w:t>Phase 6a</w:t>
            </w:r>
            <w:r w:rsidR="00267119">
              <w:rPr>
                <w:rFonts w:cs="Arial"/>
                <w:sz w:val="16"/>
                <w:szCs w:val="16"/>
              </w:rPr>
              <w:br/>
            </w:r>
            <w:r w:rsidRPr="00D64309">
              <w:rPr>
                <w:rFonts w:cs="Arial"/>
                <w:sz w:val="16"/>
                <w:szCs w:val="16"/>
              </w:rPr>
              <w:t>(May 2007)</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November 2006</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1.5</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24/05/2007</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3.1</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Slip Order rules and DRI processing rules following review by ECPC on 24</w:t>
            </w:r>
            <w:r w:rsidRPr="00D64309">
              <w:rPr>
                <w:rFonts w:cs="Arial"/>
                <w:sz w:val="16"/>
                <w:szCs w:val="16"/>
                <w:vertAlign w:val="superscript"/>
              </w:rPr>
              <w:t>th</w:t>
            </w:r>
            <w:r w:rsidRPr="00D64309">
              <w:rPr>
                <w:rFonts w:cs="Arial"/>
                <w:sz w:val="16"/>
                <w:szCs w:val="16"/>
              </w:rPr>
              <w:t xml:space="preserve"> May 2007.</w:t>
            </w:r>
          </w:p>
        </w:tc>
        <w:tc>
          <w:tcPr>
            <w:tcW w:w="1417" w:type="dxa"/>
            <w:tcMar>
              <w:top w:w="57" w:type="dxa"/>
            </w:tcMar>
          </w:tcPr>
          <w:p w:rsidR="00B24D97" w:rsidRPr="00D64309" w:rsidRDefault="00B24D97" w:rsidP="00267119">
            <w:pPr>
              <w:spacing w:before="120" w:after="120"/>
              <w:jc w:val="left"/>
              <w:rPr>
                <w:rFonts w:cs="Arial"/>
                <w:sz w:val="16"/>
                <w:szCs w:val="16"/>
              </w:rPr>
            </w:pPr>
            <w:r w:rsidRPr="00D64309">
              <w:rPr>
                <w:rFonts w:cs="Arial"/>
                <w:sz w:val="16"/>
                <w:szCs w:val="16"/>
              </w:rPr>
              <w:t>Phase 6a</w:t>
            </w:r>
            <w:r w:rsidR="00267119">
              <w:rPr>
                <w:rFonts w:cs="Arial"/>
                <w:sz w:val="16"/>
                <w:szCs w:val="16"/>
              </w:rPr>
              <w:br/>
            </w:r>
            <w:r w:rsidRPr="00D64309">
              <w:rPr>
                <w:rFonts w:cs="Arial"/>
                <w:sz w:val="16"/>
                <w:szCs w:val="16"/>
              </w:rPr>
              <w:t>(May 2007)</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November 2006</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1.5</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20/08/2007</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4.0</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to coincide with release of Phase 6b functionality, following reviews by members of ECPG and BEFIT. Full log of changes available from the Market Reform website.</w:t>
            </w:r>
          </w:p>
        </w:tc>
        <w:tc>
          <w:tcPr>
            <w:tcW w:w="1417"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Phase 6b (August 2007)</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November 2006</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1.5</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10/09/2007</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4.1</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with additions to ECF scope following review by the ECF User Group.</w:t>
            </w:r>
          </w:p>
        </w:tc>
        <w:tc>
          <w:tcPr>
            <w:tcW w:w="1417"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Phase 6b (August 2007)</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November 2006</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1.6</w:t>
            </w:r>
          </w:p>
          <w:p w:rsidR="00B24D97" w:rsidRPr="00D64309" w:rsidRDefault="00B24D97" w:rsidP="00335174">
            <w:pPr>
              <w:spacing w:before="120" w:after="120"/>
              <w:jc w:val="left"/>
              <w:rPr>
                <w:rFonts w:cs="Arial"/>
                <w:sz w:val="16"/>
                <w:szCs w:val="16"/>
              </w:rPr>
            </w:pPr>
          </w:p>
        </w:tc>
      </w:tr>
      <w:tr w:rsidR="00267119" w:rsidRPr="00D64309" w:rsidTr="00267119">
        <w:trPr>
          <w:jc w:val="center"/>
        </w:trPr>
        <w:tc>
          <w:tcPr>
            <w:tcW w:w="1018"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25/10/2007</w:t>
            </w:r>
          </w:p>
        </w:tc>
        <w:tc>
          <w:tcPr>
            <w:tcW w:w="781" w:type="dxa"/>
            <w:tcMar>
              <w:top w:w="57" w:type="dxa"/>
            </w:tcMar>
          </w:tcPr>
          <w:p w:rsidR="00267119" w:rsidRPr="00D64309" w:rsidRDefault="00267119" w:rsidP="00267119">
            <w:pPr>
              <w:spacing w:before="120" w:after="120"/>
              <w:ind w:right="-247"/>
              <w:jc w:val="left"/>
              <w:rPr>
                <w:rFonts w:cs="Arial"/>
                <w:sz w:val="16"/>
                <w:szCs w:val="16"/>
              </w:rPr>
            </w:pPr>
            <w:r w:rsidRPr="00D64309">
              <w:rPr>
                <w:rFonts w:cs="Arial"/>
                <w:sz w:val="16"/>
                <w:szCs w:val="16"/>
              </w:rPr>
              <w:t>4.2</w:t>
            </w:r>
          </w:p>
        </w:tc>
        <w:tc>
          <w:tcPr>
            <w:tcW w:w="3105" w:type="dxa"/>
            <w:tcMar>
              <w:top w:w="57" w:type="dxa"/>
            </w:tcMar>
          </w:tcPr>
          <w:p w:rsidR="00267119" w:rsidRPr="00D64309" w:rsidRDefault="00267119" w:rsidP="00267119">
            <w:pPr>
              <w:spacing w:before="120" w:after="120"/>
              <w:jc w:val="left"/>
              <w:rPr>
                <w:rFonts w:cs="Arial"/>
                <w:sz w:val="16"/>
                <w:szCs w:val="16"/>
              </w:rPr>
            </w:pPr>
            <w:r w:rsidRPr="00D64309">
              <w:rPr>
                <w:rFonts w:cs="Arial"/>
                <w:sz w:val="16"/>
                <w:szCs w:val="16"/>
              </w:rPr>
              <w:t>Updated with additions to ECF s</w:t>
            </w:r>
            <w:r>
              <w:rPr>
                <w:rFonts w:cs="Arial"/>
                <w:sz w:val="16"/>
                <w:szCs w:val="16"/>
              </w:rPr>
              <w:t xml:space="preserve">cope following review by the ECF </w:t>
            </w:r>
            <w:r w:rsidRPr="00D64309">
              <w:rPr>
                <w:rFonts w:cs="Arial"/>
                <w:sz w:val="16"/>
                <w:szCs w:val="16"/>
              </w:rPr>
              <w:t>User Group.</w:t>
            </w:r>
          </w:p>
        </w:tc>
        <w:tc>
          <w:tcPr>
            <w:tcW w:w="1417" w:type="dxa"/>
            <w:tcMar>
              <w:top w:w="57" w:type="dxa"/>
            </w:tcMar>
          </w:tcPr>
          <w:p w:rsidR="00267119" w:rsidRPr="00D64309" w:rsidRDefault="00267119" w:rsidP="00650D3D">
            <w:pPr>
              <w:spacing w:before="120" w:after="120"/>
              <w:jc w:val="left"/>
              <w:rPr>
                <w:rFonts w:cs="Arial"/>
                <w:sz w:val="16"/>
                <w:szCs w:val="16"/>
              </w:rPr>
            </w:pPr>
            <w:r w:rsidRPr="00D64309">
              <w:rPr>
                <w:rFonts w:cs="Arial"/>
                <w:sz w:val="16"/>
                <w:szCs w:val="16"/>
              </w:rPr>
              <w:t>Phase 6b (August 2007)</w:t>
            </w:r>
          </w:p>
        </w:tc>
        <w:tc>
          <w:tcPr>
            <w:tcW w:w="1560" w:type="dxa"/>
            <w:tcMar>
              <w:top w:w="57" w:type="dxa"/>
            </w:tcMar>
          </w:tcPr>
          <w:p w:rsidR="00267119" w:rsidRPr="00D64309" w:rsidRDefault="00267119" w:rsidP="00267119">
            <w:pPr>
              <w:spacing w:before="120" w:after="120"/>
              <w:ind w:right="-108"/>
              <w:jc w:val="left"/>
              <w:rPr>
                <w:rFonts w:cs="Arial"/>
                <w:sz w:val="16"/>
                <w:szCs w:val="16"/>
              </w:rPr>
            </w:pP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November 2006</w:t>
            </w:r>
          </w:p>
        </w:tc>
        <w:tc>
          <w:tcPr>
            <w:tcW w:w="1316"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1.6</w:t>
            </w:r>
          </w:p>
        </w:tc>
      </w:tr>
      <w:tr w:rsidR="00267119" w:rsidRPr="00D64309" w:rsidTr="00267119">
        <w:trPr>
          <w:jc w:val="center"/>
        </w:trPr>
        <w:tc>
          <w:tcPr>
            <w:tcW w:w="1018"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22/10/2007</w:t>
            </w:r>
          </w:p>
        </w:tc>
        <w:tc>
          <w:tcPr>
            <w:tcW w:w="781" w:type="dxa"/>
            <w:tcMar>
              <w:top w:w="57" w:type="dxa"/>
            </w:tcMar>
          </w:tcPr>
          <w:p w:rsidR="00267119" w:rsidRPr="00D64309" w:rsidRDefault="00267119" w:rsidP="00267119">
            <w:pPr>
              <w:spacing w:before="120" w:after="120"/>
              <w:ind w:right="-247"/>
              <w:jc w:val="left"/>
              <w:rPr>
                <w:rFonts w:cs="Arial"/>
                <w:sz w:val="16"/>
                <w:szCs w:val="16"/>
              </w:rPr>
            </w:pPr>
            <w:r w:rsidRPr="00D64309">
              <w:rPr>
                <w:rFonts w:cs="Arial"/>
                <w:sz w:val="16"/>
                <w:szCs w:val="16"/>
              </w:rPr>
              <w:t>4.3</w:t>
            </w:r>
          </w:p>
        </w:tc>
        <w:tc>
          <w:tcPr>
            <w:tcW w:w="3105"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Updated with clarification re how to process claims on unsigned risks</w:t>
            </w:r>
          </w:p>
        </w:tc>
        <w:tc>
          <w:tcPr>
            <w:tcW w:w="1417" w:type="dxa"/>
            <w:tcMar>
              <w:top w:w="57" w:type="dxa"/>
            </w:tcMar>
          </w:tcPr>
          <w:p w:rsidR="00267119" w:rsidRPr="00D64309" w:rsidRDefault="00267119" w:rsidP="00650D3D">
            <w:pPr>
              <w:spacing w:before="120" w:after="120"/>
              <w:jc w:val="left"/>
              <w:rPr>
                <w:rFonts w:cs="Arial"/>
                <w:sz w:val="16"/>
                <w:szCs w:val="16"/>
              </w:rPr>
            </w:pPr>
            <w:r w:rsidRPr="00D64309">
              <w:rPr>
                <w:rFonts w:cs="Arial"/>
                <w:sz w:val="16"/>
                <w:szCs w:val="16"/>
              </w:rPr>
              <w:t>Phase 6b (August 2007)</w:t>
            </w:r>
          </w:p>
        </w:tc>
        <w:tc>
          <w:tcPr>
            <w:tcW w:w="1560" w:type="dxa"/>
            <w:tcMar>
              <w:top w:w="57" w:type="dxa"/>
            </w:tcMar>
          </w:tcPr>
          <w:p w:rsidR="00267119" w:rsidRPr="00D64309" w:rsidRDefault="00267119" w:rsidP="00267119">
            <w:pPr>
              <w:spacing w:before="120" w:after="120"/>
              <w:ind w:right="-108"/>
              <w:jc w:val="left"/>
              <w:rPr>
                <w:rFonts w:cs="Arial"/>
                <w:sz w:val="16"/>
                <w:szCs w:val="16"/>
              </w:rPr>
            </w:pP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November 2006</w:t>
            </w:r>
          </w:p>
        </w:tc>
        <w:tc>
          <w:tcPr>
            <w:tcW w:w="1316"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1.6</w:t>
            </w:r>
          </w:p>
        </w:tc>
      </w:tr>
      <w:tr w:rsidR="00267119" w:rsidRPr="00D64309" w:rsidTr="00267119">
        <w:trPr>
          <w:jc w:val="center"/>
        </w:trPr>
        <w:tc>
          <w:tcPr>
            <w:tcW w:w="1018"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05/03/2008</w:t>
            </w:r>
          </w:p>
        </w:tc>
        <w:tc>
          <w:tcPr>
            <w:tcW w:w="781" w:type="dxa"/>
            <w:tcMar>
              <w:top w:w="57" w:type="dxa"/>
            </w:tcMar>
          </w:tcPr>
          <w:p w:rsidR="00267119" w:rsidRPr="00D64309" w:rsidRDefault="00267119" w:rsidP="00267119">
            <w:pPr>
              <w:spacing w:before="120" w:after="120"/>
              <w:ind w:right="-247"/>
              <w:jc w:val="left"/>
              <w:rPr>
                <w:rFonts w:cs="Arial"/>
                <w:sz w:val="16"/>
                <w:szCs w:val="16"/>
              </w:rPr>
            </w:pPr>
            <w:r w:rsidRPr="00D64309">
              <w:rPr>
                <w:rFonts w:cs="Arial"/>
                <w:sz w:val="16"/>
                <w:szCs w:val="16"/>
              </w:rPr>
              <w:t>4.4</w:t>
            </w:r>
          </w:p>
        </w:tc>
        <w:tc>
          <w:tcPr>
            <w:tcW w:w="3105"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Updated with Claims Seen But Not Entered explanation.</w:t>
            </w:r>
          </w:p>
        </w:tc>
        <w:tc>
          <w:tcPr>
            <w:tcW w:w="1417" w:type="dxa"/>
            <w:tcMar>
              <w:top w:w="57" w:type="dxa"/>
            </w:tcMar>
          </w:tcPr>
          <w:p w:rsidR="00267119" w:rsidRPr="00D64309" w:rsidRDefault="00267119" w:rsidP="00650D3D">
            <w:pPr>
              <w:spacing w:before="120" w:after="120"/>
              <w:jc w:val="left"/>
              <w:rPr>
                <w:rFonts w:cs="Arial"/>
                <w:sz w:val="16"/>
                <w:szCs w:val="16"/>
              </w:rPr>
            </w:pPr>
            <w:r w:rsidRPr="00D64309">
              <w:rPr>
                <w:rFonts w:cs="Arial"/>
                <w:sz w:val="16"/>
                <w:szCs w:val="16"/>
              </w:rPr>
              <w:t>Phase 6b (August 2007)</w:t>
            </w:r>
          </w:p>
        </w:tc>
        <w:tc>
          <w:tcPr>
            <w:tcW w:w="1560" w:type="dxa"/>
            <w:tcMar>
              <w:top w:w="57" w:type="dxa"/>
            </w:tcMar>
          </w:tcPr>
          <w:p w:rsidR="00267119" w:rsidRPr="00D64309" w:rsidRDefault="00267119" w:rsidP="00267119">
            <w:pPr>
              <w:spacing w:before="120" w:after="120"/>
              <w:ind w:right="-108"/>
              <w:jc w:val="left"/>
              <w:rPr>
                <w:rFonts w:cs="Arial"/>
                <w:sz w:val="16"/>
                <w:szCs w:val="16"/>
              </w:rPr>
            </w:pP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November 2006</w:t>
            </w:r>
          </w:p>
        </w:tc>
        <w:tc>
          <w:tcPr>
            <w:tcW w:w="1316"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1.7</w:t>
            </w:r>
          </w:p>
        </w:tc>
      </w:tr>
      <w:tr w:rsidR="00267119" w:rsidRPr="00D64309" w:rsidTr="00267119">
        <w:trPr>
          <w:jc w:val="center"/>
        </w:trPr>
        <w:tc>
          <w:tcPr>
            <w:tcW w:w="1018"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05/03/2008</w:t>
            </w:r>
          </w:p>
        </w:tc>
        <w:tc>
          <w:tcPr>
            <w:tcW w:w="781" w:type="dxa"/>
            <w:tcMar>
              <w:top w:w="57" w:type="dxa"/>
            </w:tcMar>
          </w:tcPr>
          <w:p w:rsidR="00267119" w:rsidRPr="00D64309" w:rsidRDefault="00267119" w:rsidP="00267119">
            <w:pPr>
              <w:spacing w:before="120" w:after="120"/>
              <w:ind w:right="-247"/>
              <w:jc w:val="left"/>
              <w:rPr>
                <w:rFonts w:cs="Arial"/>
                <w:sz w:val="16"/>
                <w:szCs w:val="16"/>
              </w:rPr>
            </w:pPr>
            <w:r w:rsidRPr="00D64309">
              <w:rPr>
                <w:rFonts w:cs="Arial"/>
                <w:sz w:val="16"/>
                <w:szCs w:val="16"/>
              </w:rPr>
              <w:t>4.4</w:t>
            </w:r>
          </w:p>
        </w:tc>
        <w:tc>
          <w:tcPr>
            <w:tcW w:w="3105"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Updated with Lloyd’s Consortium Syndicates explanation.</w:t>
            </w:r>
          </w:p>
        </w:tc>
        <w:tc>
          <w:tcPr>
            <w:tcW w:w="1417" w:type="dxa"/>
            <w:tcMar>
              <w:top w:w="57" w:type="dxa"/>
            </w:tcMar>
          </w:tcPr>
          <w:p w:rsidR="00267119" w:rsidRPr="00D64309" w:rsidRDefault="00267119" w:rsidP="00650D3D">
            <w:pPr>
              <w:spacing w:before="120" w:after="120"/>
              <w:jc w:val="left"/>
              <w:rPr>
                <w:rFonts w:cs="Arial"/>
                <w:sz w:val="16"/>
                <w:szCs w:val="16"/>
              </w:rPr>
            </w:pPr>
            <w:r w:rsidRPr="00D64309">
              <w:rPr>
                <w:rFonts w:cs="Arial"/>
                <w:sz w:val="16"/>
                <w:szCs w:val="16"/>
              </w:rPr>
              <w:t>Phase 6b (August 2007)</w:t>
            </w:r>
          </w:p>
        </w:tc>
        <w:tc>
          <w:tcPr>
            <w:tcW w:w="1560" w:type="dxa"/>
            <w:tcMar>
              <w:top w:w="57" w:type="dxa"/>
            </w:tcMar>
          </w:tcPr>
          <w:p w:rsidR="00267119" w:rsidRPr="00D64309" w:rsidRDefault="00267119" w:rsidP="00267119">
            <w:pPr>
              <w:spacing w:before="120" w:after="120"/>
              <w:ind w:right="-108"/>
              <w:jc w:val="left"/>
              <w:rPr>
                <w:rFonts w:cs="Arial"/>
                <w:sz w:val="16"/>
                <w:szCs w:val="16"/>
              </w:rPr>
            </w:pP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November 2006</w:t>
            </w:r>
          </w:p>
        </w:tc>
        <w:tc>
          <w:tcPr>
            <w:tcW w:w="1316" w:type="dxa"/>
            <w:tcMar>
              <w:top w:w="57" w:type="dxa"/>
            </w:tcMar>
          </w:tcPr>
          <w:p w:rsidR="00267119" w:rsidRPr="00D64309" w:rsidRDefault="00267119" w:rsidP="00335174">
            <w:pPr>
              <w:spacing w:before="120" w:after="120"/>
              <w:jc w:val="left"/>
              <w:rPr>
                <w:rFonts w:cs="Arial"/>
                <w:sz w:val="16"/>
                <w:szCs w:val="16"/>
              </w:rPr>
            </w:pPr>
            <w:r w:rsidRPr="00D64309">
              <w:rPr>
                <w:rFonts w:cs="Arial"/>
                <w:sz w:val="16"/>
                <w:szCs w:val="16"/>
              </w:rPr>
              <w:t>1.7</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17/11/2008</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4.5</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with Phase 7b functionality, plus additions to ECF Scope</w:t>
            </w:r>
          </w:p>
        </w:tc>
        <w:tc>
          <w:tcPr>
            <w:tcW w:w="1417"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Phase 7b (October 2008)</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Contract</w:t>
            </w:r>
            <w:r w:rsidR="00267119">
              <w:rPr>
                <w:rFonts w:cs="Arial"/>
                <w:sz w:val="16"/>
                <w:szCs w:val="16"/>
              </w:rPr>
              <w:br/>
            </w: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October 2008</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Brokers: 1.8</w:t>
            </w:r>
          </w:p>
          <w:p w:rsidR="00B24D97" w:rsidRPr="00D64309" w:rsidRDefault="00B24D97" w:rsidP="00335174">
            <w:pPr>
              <w:spacing w:before="120" w:after="120"/>
              <w:jc w:val="left"/>
              <w:rPr>
                <w:rFonts w:cs="Arial"/>
                <w:sz w:val="16"/>
                <w:szCs w:val="16"/>
              </w:rPr>
            </w:pPr>
            <w:r w:rsidRPr="00D64309">
              <w:rPr>
                <w:rFonts w:cs="Arial"/>
                <w:sz w:val="16"/>
                <w:szCs w:val="16"/>
              </w:rPr>
              <w:t>Carriers: 1.11</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31/03/2009</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4.6</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with Legacy claim procedures</w:t>
            </w:r>
          </w:p>
        </w:tc>
        <w:tc>
          <w:tcPr>
            <w:tcW w:w="1417"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Phase 7b (October 2008)</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Contract</w:t>
            </w:r>
            <w:r w:rsidR="00267119">
              <w:rPr>
                <w:rFonts w:cs="Arial"/>
                <w:sz w:val="16"/>
                <w:szCs w:val="16"/>
              </w:rPr>
              <w:br/>
            </w: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October 2008</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Brokers: 1.8</w:t>
            </w:r>
          </w:p>
          <w:p w:rsidR="00B24D97" w:rsidRPr="00D64309" w:rsidRDefault="00B24D97" w:rsidP="00335174">
            <w:pPr>
              <w:spacing w:before="120" w:after="120"/>
              <w:jc w:val="left"/>
              <w:rPr>
                <w:rFonts w:cs="Arial"/>
                <w:sz w:val="16"/>
                <w:szCs w:val="16"/>
              </w:rPr>
            </w:pPr>
            <w:r w:rsidRPr="00D64309">
              <w:rPr>
                <w:rFonts w:cs="Arial"/>
                <w:sz w:val="16"/>
                <w:szCs w:val="16"/>
              </w:rPr>
              <w:t>Carriers: 1.11</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lastRenderedPageBreak/>
              <w:t>02/07/2009</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4.7</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with Endorsements wording and new IMR screen shots</w:t>
            </w:r>
          </w:p>
        </w:tc>
        <w:tc>
          <w:tcPr>
            <w:tcW w:w="1417"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Upgrade (July 2009)</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Contract</w:t>
            </w:r>
            <w:r w:rsidR="00267119">
              <w:rPr>
                <w:rFonts w:cs="Arial"/>
                <w:sz w:val="16"/>
                <w:szCs w:val="16"/>
              </w:rPr>
              <w:br/>
            </w: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October 2008</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Brokers: 1.8</w:t>
            </w:r>
          </w:p>
          <w:p w:rsidR="00B24D97" w:rsidRPr="00D64309" w:rsidRDefault="00B24D97" w:rsidP="00335174">
            <w:pPr>
              <w:spacing w:before="120" w:after="120"/>
              <w:jc w:val="left"/>
              <w:rPr>
                <w:rFonts w:cs="Arial"/>
                <w:sz w:val="16"/>
                <w:szCs w:val="16"/>
              </w:rPr>
            </w:pPr>
            <w:r w:rsidRPr="00D64309">
              <w:rPr>
                <w:rFonts w:cs="Arial"/>
                <w:sz w:val="16"/>
                <w:szCs w:val="16"/>
              </w:rPr>
              <w:t>Carriers: 1.12</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04/12/2009</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4.8</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following implementation of IMR Security Model enhancements</w:t>
            </w:r>
          </w:p>
        </w:tc>
        <w:tc>
          <w:tcPr>
            <w:tcW w:w="1417"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Security Model</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Contract</w:t>
            </w:r>
            <w:r w:rsidR="00267119">
              <w:rPr>
                <w:rFonts w:cs="Arial"/>
                <w:sz w:val="16"/>
                <w:szCs w:val="16"/>
              </w:rPr>
              <w:br/>
            </w: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October 2008</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Brokers:1.9</w:t>
            </w:r>
          </w:p>
          <w:p w:rsidR="00B24D97" w:rsidRPr="00D64309" w:rsidRDefault="00B24D97" w:rsidP="00335174">
            <w:pPr>
              <w:spacing w:before="120" w:after="120"/>
              <w:jc w:val="left"/>
              <w:rPr>
                <w:rFonts w:cs="Arial"/>
                <w:sz w:val="16"/>
                <w:szCs w:val="16"/>
              </w:rPr>
            </w:pPr>
            <w:r w:rsidRPr="00D64309">
              <w:rPr>
                <w:rFonts w:cs="Arial"/>
                <w:sz w:val="16"/>
                <w:szCs w:val="16"/>
              </w:rPr>
              <w:t>Carriers:1.13</w:t>
            </w:r>
          </w:p>
        </w:tc>
      </w:tr>
      <w:tr w:rsidR="00B24D97" w:rsidRPr="00D64309" w:rsidTr="00267119">
        <w:trPr>
          <w:jc w:val="center"/>
        </w:trPr>
        <w:tc>
          <w:tcPr>
            <w:tcW w:w="1018"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24/03/2010</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4.9</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Updated with Claims Transformation Programme pilot guidelines, Static Claims Management, Replacement Lead Outbound DRI notification, Multiple Bureau Login Conflict of Interest and ECF Transaction Deletion wordings.</w:t>
            </w:r>
          </w:p>
        </w:tc>
        <w:tc>
          <w:tcPr>
            <w:tcW w:w="1417"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Security Model</w:t>
            </w:r>
            <w:r w:rsidR="00267119">
              <w:rPr>
                <w:rFonts w:cs="Arial"/>
                <w:sz w:val="16"/>
                <w:szCs w:val="16"/>
              </w:rPr>
              <w:br/>
            </w:r>
            <w:r w:rsidRPr="00D64309">
              <w:rPr>
                <w:rFonts w:cs="Arial"/>
                <w:sz w:val="16"/>
                <w:szCs w:val="16"/>
              </w:rPr>
              <w:t>(December 2009)</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Contract</w:t>
            </w:r>
            <w:r w:rsidR="00267119">
              <w:rPr>
                <w:rFonts w:cs="Arial"/>
                <w:sz w:val="16"/>
                <w:szCs w:val="16"/>
              </w:rPr>
              <w:br/>
            </w: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October 2008</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Brokers:1.9</w:t>
            </w:r>
          </w:p>
          <w:p w:rsidR="00B24D97" w:rsidRPr="00D64309" w:rsidRDefault="00B24D97" w:rsidP="00335174">
            <w:pPr>
              <w:spacing w:before="120" w:after="120"/>
              <w:jc w:val="left"/>
              <w:rPr>
                <w:rFonts w:cs="Arial"/>
                <w:sz w:val="16"/>
                <w:szCs w:val="16"/>
              </w:rPr>
            </w:pPr>
            <w:r w:rsidRPr="00D64309">
              <w:rPr>
                <w:rFonts w:cs="Arial"/>
                <w:sz w:val="16"/>
                <w:szCs w:val="16"/>
              </w:rPr>
              <w:t>Carriers:1.13</w:t>
            </w:r>
          </w:p>
        </w:tc>
      </w:tr>
      <w:tr w:rsidR="00B24D97" w:rsidRPr="00D64309" w:rsidTr="00267119">
        <w:trPr>
          <w:jc w:val="center"/>
        </w:trPr>
        <w:tc>
          <w:tcPr>
            <w:tcW w:w="1018" w:type="dxa"/>
            <w:tcMar>
              <w:top w:w="57" w:type="dxa"/>
            </w:tcMar>
          </w:tcPr>
          <w:p w:rsidR="00B24D97" w:rsidRPr="00D64309" w:rsidRDefault="002A0406" w:rsidP="00335174">
            <w:pPr>
              <w:spacing w:before="120" w:after="120"/>
              <w:jc w:val="left"/>
              <w:rPr>
                <w:rFonts w:cs="Arial"/>
                <w:sz w:val="16"/>
                <w:szCs w:val="16"/>
              </w:rPr>
            </w:pPr>
            <w:r>
              <w:rPr>
                <w:rFonts w:cs="Arial"/>
                <w:sz w:val="16"/>
                <w:szCs w:val="16"/>
              </w:rPr>
              <w:t>01/06/2012</w:t>
            </w:r>
          </w:p>
        </w:tc>
        <w:tc>
          <w:tcPr>
            <w:tcW w:w="781" w:type="dxa"/>
            <w:tcMar>
              <w:top w:w="57" w:type="dxa"/>
            </w:tcMar>
          </w:tcPr>
          <w:p w:rsidR="00B24D97" w:rsidRPr="00D64309" w:rsidRDefault="00B24D97" w:rsidP="00267119">
            <w:pPr>
              <w:spacing w:before="120" w:after="120"/>
              <w:ind w:right="-247"/>
              <w:jc w:val="left"/>
              <w:rPr>
                <w:rFonts w:cs="Arial"/>
                <w:sz w:val="16"/>
                <w:szCs w:val="16"/>
              </w:rPr>
            </w:pPr>
            <w:r w:rsidRPr="00D64309">
              <w:rPr>
                <w:rFonts w:cs="Arial"/>
                <w:sz w:val="16"/>
                <w:szCs w:val="16"/>
              </w:rPr>
              <w:t>5.0</w:t>
            </w:r>
          </w:p>
        </w:tc>
        <w:tc>
          <w:tcPr>
            <w:tcW w:w="3105"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Update with cross reference to ECF2 version, amendments to scope and inclusion of sections on non-cash settlements, Above Authority Scheme Canada claims, Lead Reserve fields, handling Static claims through ECF, Outbound DRI functionality &amp; Legacy et al.</w:t>
            </w:r>
          </w:p>
        </w:tc>
        <w:tc>
          <w:tcPr>
            <w:tcW w:w="1417"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Security Model</w:t>
            </w:r>
            <w:r w:rsidR="00267119">
              <w:rPr>
                <w:rFonts w:cs="Arial"/>
                <w:sz w:val="16"/>
                <w:szCs w:val="16"/>
              </w:rPr>
              <w:br/>
            </w:r>
            <w:r w:rsidRPr="00D64309">
              <w:rPr>
                <w:rFonts w:cs="Arial"/>
                <w:sz w:val="16"/>
                <w:szCs w:val="16"/>
              </w:rPr>
              <w:t>(December 2009)</w:t>
            </w:r>
          </w:p>
        </w:tc>
        <w:tc>
          <w:tcPr>
            <w:tcW w:w="1560" w:type="dxa"/>
            <w:tcMar>
              <w:top w:w="57" w:type="dxa"/>
            </w:tcMar>
          </w:tcPr>
          <w:p w:rsidR="00B24D97" w:rsidRPr="00D64309" w:rsidRDefault="00B24D97" w:rsidP="00267119">
            <w:pPr>
              <w:spacing w:before="120" w:after="120"/>
              <w:ind w:right="-108"/>
              <w:jc w:val="left"/>
              <w:rPr>
                <w:rFonts w:cs="Arial"/>
                <w:sz w:val="16"/>
                <w:szCs w:val="16"/>
              </w:rPr>
            </w:pPr>
            <w:r w:rsidRPr="00D64309">
              <w:rPr>
                <w:rFonts w:cs="Arial"/>
                <w:sz w:val="16"/>
                <w:szCs w:val="16"/>
              </w:rPr>
              <w:t>IMR Contrac</w:t>
            </w:r>
            <w:r w:rsidR="00267119">
              <w:rPr>
                <w:rFonts w:cs="Arial"/>
                <w:sz w:val="16"/>
                <w:szCs w:val="16"/>
              </w:rPr>
              <w:t>t</w:t>
            </w:r>
            <w:r w:rsidR="00267119">
              <w:rPr>
                <w:rFonts w:cs="Arial"/>
                <w:sz w:val="16"/>
                <w:szCs w:val="16"/>
              </w:rPr>
              <w:br/>
            </w:r>
            <w:r w:rsidRPr="00D64309">
              <w:rPr>
                <w:rFonts w:cs="Arial"/>
                <w:sz w:val="16"/>
                <w:szCs w:val="16"/>
              </w:rPr>
              <w:t>1</w:t>
            </w:r>
            <w:r w:rsidRPr="00D64309">
              <w:rPr>
                <w:rFonts w:cs="Arial"/>
                <w:sz w:val="16"/>
                <w:szCs w:val="16"/>
                <w:vertAlign w:val="superscript"/>
              </w:rPr>
              <w:t>st</w:t>
            </w:r>
            <w:r w:rsidRPr="00D64309">
              <w:rPr>
                <w:rFonts w:cs="Arial"/>
                <w:sz w:val="16"/>
                <w:szCs w:val="16"/>
              </w:rPr>
              <w:t xml:space="preserve"> October 2008</w:t>
            </w:r>
          </w:p>
        </w:tc>
        <w:tc>
          <w:tcPr>
            <w:tcW w:w="1316" w:type="dxa"/>
            <w:tcMar>
              <w:top w:w="57" w:type="dxa"/>
            </w:tcMar>
          </w:tcPr>
          <w:p w:rsidR="00B24D97" w:rsidRPr="00D64309" w:rsidRDefault="00B24D97" w:rsidP="00335174">
            <w:pPr>
              <w:spacing w:before="120" w:after="120"/>
              <w:jc w:val="left"/>
              <w:rPr>
                <w:rFonts w:cs="Arial"/>
                <w:sz w:val="16"/>
                <w:szCs w:val="16"/>
              </w:rPr>
            </w:pPr>
            <w:r w:rsidRPr="00D64309">
              <w:rPr>
                <w:rFonts w:cs="Arial"/>
                <w:sz w:val="16"/>
                <w:szCs w:val="16"/>
              </w:rPr>
              <w:t>Brokers:1.9</w:t>
            </w:r>
          </w:p>
          <w:p w:rsidR="00B24D97" w:rsidRPr="00D64309" w:rsidRDefault="00B24D97" w:rsidP="00335174">
            <w:pPr>
              <w:spacing w:before="120" w:after="120"/>
              <w:jc w:val="left"/>
              <w:rPr>
                <w:rFonts w:cs="Arial"/>
                <w:sz w:val="16"/>
                <w:szCs w:val="16"/>
              </w:rPr>
            </w:pPr>
            <w:r w:rsidRPr="00D64309">
              <w:rPr>
                <w:rFonts w:cs="Arial"/>
                <w:sz w:val="16"/>
                <w:szCs w:val="16"/>
              </w:rPr>
              <w:t>Carriers:1.13</w:t>
            </w:r>
          </w:p>
        </w:tc>
      </w:tr>
      <w:tr w:rsidR="005D63E0" w:rsidRPr="00D64309" w:rsidTr="00267119">
        <w:trPr>
          <w:jc w:val="center"/>
        </w:trPr>
        <w:tc>
          <w:tcPr>
            <w:tcW w:w="1018" w:type="dxa"/>
            <w:tcMar>
              <w:top w:w="57" w:type="dxa"/>
            </w:tcMar>
          </w:tcPr>
          <w:p w:rsidR="005D63E0" w:rsidRDefault="005D63E0" w:rsidP="00335174">
            <w:pPr>
              <w:spacing w:before="120" w:after="120"/>
              <w:jc w:val="left"/>
              <w:rPr>
                <w:rFonts w:cs="Arial"/>
                <w:sz w:val="16"/>
                <w:szCs w:val="16"/>
              </w:rPr>
            </w:pPr>
            <w:r>
              <w:rPr>
                <w:rFonts w:cs="Arial"/>
                <w:sz w:val="16"/>
                <w:szCs w:val="16"/>
              </w:rPr>
              <w:t>01/04/2013</w:t>
            </w:r>
          </w:p>
        </w:tc>
        <w:tc>
          <w:tcPr>
            <w:tcW w:w="781" w:type="dxa"/>
            <w:tcMar>
              <w:top w:w="57" w:type="dxa"/>
            </w:tcMar>
          </w:tcPr>
          <w:p w:rsidR="005D63E0" w:rsidRPr="00D64309" w:rsidRDefault="005D63E0" w:rsidP="00267119">
            <w:pPr>
              <w:spacing w:before="120" w:after="120"/>
              <w:ind w:right="-247"/>
              <w:jc w:val="left"/>
              <w:rPr>
                <w:rFonts w:cs="Arial"/>
                <w:sz w:val="16"/>
                <w:szCs w:val="16"/>
              </w:rPr>
            </w:pPr>
            <w:r>
              <w:rPr>
                <w:rFonts w:cs="Arial"/>
                <w:sz w:val="16"/>
                <w:szCs w:val="16"/>
              </w:rPr>
              <w:t>6.0</w:t>
            </w:r>
          </w:p>
        </w:tc>
        <w:tc>
          <w:tcPr>
            <w:tcW w:w="3105" w:type="dxa"/>
            <w:tcMar>
              <w:top w:w="57" w:type="dxa"/>
            </w:tcMar>
          </w:tcPr>
          <w:p w:rsidR="005D63E0" w:rsidRPr="00D64309" w:rsidRDefault="005D63E0" w:rsidP="00335174">
            <w:pPr>
              <w:spacing w:before="120" w:after="120"/>
              <w:jc w:val="left"/>
              <w:rPr>
                <w:rFonts w:cs="Arial"/>
                <w:sz w:val="16"/>
                <w:szCs w:val="16"/>
              </w:rPr>
            </w:pPr>
            <w:r>
              <w:rPr>
                <w:rFonts w:cs="Arial"/>
                <w:sz w:val="16"/>
                <w:szCs w:val="16"/>
              </w:rPr>
              <w:t xml:space="preserve">Update on </w:t>
            </w:r>
            <w:r w:rsidR="001F74AE">
              <w:rPr>
                <w:rFonts w:cs="Arial"/>
                <w:sz w:val="16"/>
                <w:szCs w:val="16"/>
              </w:rPr>
              <w:t>Lead Reserving, Ghost Leads and changes made to enhancements on</w:t>
            </w:r>
            <w:r>
              <w:rPr>
                <w:rFonts w:cs="Arial"/>
                <w:sz w:val="16"/>
                <w:szCs w:val="16"/>
              </w:rPr>
              <w:t xml:space="preserve"> (CR0040) </w:t>
            </w:r>
            <w:r w:rsidR="00DC3A43">
              <w:rPr>
                <w:rFonts w:cs="Arial"/>
                <w:sz w:val="16"/>
                <w:szCs w:val="16"/>
              </w:rPr>
              <w:t>embedded documents within emails</w:t>
            </w:r>
            <w:r w:rsidR="001F74AE">
              <w:rPr>
                <w:rFonts w:cs="Arial"/>
                <w:sz w:val="16"/>
                <w:szCs w:val="16"/>
              </w:rPr>
              <w:t xml:space="preserve"> and Claims Workflow Services. Best practice surrounding loading of Excel spreadsheets.</w:t>
            </w:r>
          </w:p>
        </w:tc>
        <w:tc>
          <w:tcPr>
            <w:tcW w:w="1417" w:type="dxa"/>
            <w:tcMar>
              <w:top w:w="57" w:type="dxa"/>
            </w:tcMar>
          </w:tcPr>
          <w:p w:rsidR="005D63E0" w:rsidRPr="00D64309" w:rsidRDefault="001F74AE" w:rsidP="00267119">
            <w:pPr>
              <w:spacing w:before="120" w:after="120"/>
              <w:ind w:right="-108"/>
              <w:jc w:val="left"/>
              <w:rPr>
                <w:rFonts w:cs="Arial"/>
                <w:sz w:val="16"/>
                <w:szCs w:val="16"/>
              </w:rPr>
            </w:pPr>
            <w:r>
              <w:rPr>
                <w:rFonts w:cs="Arial"/>
                <w:sz w:val="16"/>
                <w:szCs w:val="16"/>
              </w:rPr>
              <w:t>Enhancements made</w:t>
            </w:r>
            <w:r w:rsidR="00DC3A43">
              <w:rPr>
                <w:rFonts w:cs="Arial"/>
                <w:sz w:val="16"/>
                <w:szCs w:val="16"/>
              </w:rPr>
              <w:t xml:space="preserve"> throughout 2012</w:t>
            </w:r>
          </w:p>
        </w:tc>
        <w:tc>
          <w:tcPr>
            <w:tcW w:w="1560" w:type="dxa"/>
            <w:tcMar>
              <w:top w:w="57" w:type="dxa"/>
            </w:tcMar>
          </w:tcPr>
          <w:p w:rsidR="005D63E0" w:rsidRPr="00D64309" w:rsidRDefault="00DC3A43" w:rsidP="00267119">
            <w:pPr>
              <w:spacing w:before="120" w:after="120"/>
              <w:ind w:right="-108"/>
              <w:jc w:val="left"/>
              <w:rPr>
                <w:rFonts w:cs="Arial"/>
                <w:sz w:val="16"/>
                <w:szCs w:val="16"/>
              </w:rPr>
            </w:pPr>
            <w:r>
              <w:rPr>
                <w:rFonts w:cs="Arial"/>
                <w:sz w:val="16"/>
                <w:szCs w:val="16"/>
              </w:rPr>
              <w:t>1</w:t>
            </w:r>
            <w:r w:rsidRPr="00E818B5">
              <w:rPr>
                <w:rFonts w:cs="Arial"/>
                <w:sz w:val="16"/>
                <w:szCs w:val="16"/>
                <w:vertAlign w:val="superscript"/>
              </w:rPr>
              <w:t>st</w:t>
            </w:r>
            <w:r>
              <w:rPr>
                <w:rFonts w:cs="Arial"/>
                <w:sz w:val="16"/>
                <w:szCs w:val="16"/>
              </w:rPr>
              <w:t xml:space="preserve"> April 2013</w:t>
            </w:r>
          </w:p>
        </w:tc>
        <w:tc>
          <w:tcPr>
            <w:tcW w:w="1316" w:type="dxa"/>
            <w:tcMar>
              <w:top w:w="57" w:type="dxa"/>
            </w:tcMar>
          </w:tcPr>
          <w:p w:rsidR="005D63E0" w:rsidRDefault="00DC3A43" w:rsidP="00335174">
            <w:pPr>
              <w:spacing w:before="120" w:after="120"/>
              <w:jc w:val="left"/>
              <w:rPr>
                <w:rFonts w:cs="Arial"/>
                <w:sz w:val="16"/>
                <w:szCs w:val="16"/>
              </w:rPr>
            </w:pPr>
            <w:r>
              <w:rPr>
                <w:rFonts w:cs="Arial"/>
                <w:sz w:val="16"/>
                <w:szCs w:val="16"/>
              </w:rPr>
              <w:t>Lloyd</w:t>
            </w:r>
            <w:r w:rsidR="007337F9">
              <w:rPr>
                <w:rFonts w:cs="Arial"/>
                <w:sz w:val="16"/>
                <w:szCs w:val="16"/>
              </w:rPr>
              <w:t>’</w:t>
            </w:r>
            <w:r>
              <w:rPr>
                <w:rFonts w:cs="Arial"/>
                <w:sz w:val="16"/>
                <w:szCs w:val="16"/>
              </w:rPr>
              <w:t>s: 6.0</w:t>
            </w:r>
          </w:p>
          <w:p w:rsidR="00DC3A43" w:rsidRPr="00D64309" w:rsidRDefault="00DC3A43" w:rsidP="00335174">
            <w:pPr>
              <w:spacing w:before="120" w:after="120"/>
              <w:jc w:val="left"/>
              <w:rPr>
                <w:rFonts w:cs="Arial"/>
                <w:sz w:val="16"/>
                <w:szCs w:val="16"/>
              </w:rPr>
            </w:pPr>
            <w:r>
              <w:rPr>
                <w:rFonts w:cs="Arial"/>
                <w:sz w:val="16"/>
                <w:szCs w:val="16"/>
              </w:rPr>
              <w:t xml:space="preserve">Company Market: </w:t>
            </w:r>
            <w:r w:rsidR="001F74AE">
              <w:rPr>
                <w:rFonts w:cs="Arial"/>
                <w:sz w:val="16"/>
                <w:szCs w:val="16"/>
              </w:rPr>
              <w:t>3</w:t>
            </w:r>
            <w:r>
              <w:rPr>
                <w:rFonts w:cs="Arial"/>
                <w:sz w:val="16"/>
                <w:szCs w:val="16"/>
              </w:rPr>
              <w:t>.0</w:t>
            </w:r>
          </w:p>
        </w:tc>
      </w:tr>
      <w:tr w:rsidR="0019723C" w:rsidRPr="00D64309" w:rsidTr="00267119">
        <w:trPr>
          <w:jc w:val="center"/>
        </w:trPr>
        <w:tc>
          <w:tcPr>
            <w:tcW w:w="1018" w:type="dxa"/>
            <w:tcMar>
              <w:top w:w="57" w:type="dxa"/>
            </w:tcMar>
          </w:tcPr>
          <w:p w:rsidR="0019723C" w:rsidRPr="005B544D" w:rsidRDefault="0019723C" w:rsidP="00335174">
            <w:pPr>
              <w:spacing w:before="120" w:after="120"/>
              <w:jc w:val="left"/>
              <w:rPr>
                <w:rFonts w:cs="Arial"/>
                <w:sz w:val="16"/>
                <w:szCs w:val="16"/>
              </w:rPr>
            </w:pPr>
            <w:r w:rsidRPr="005B544D">
              <w:rPr>
                <w:rFonts w:cs="Arial"/>
                <w:sz w:val="16"/>
                <w:szCs w:val="16"/>
              </w:rPr>
              <w:t>26/02/14</w:t>
            </w:r>
          </w:p>
        </w:tc>
        <w:tc>
          <w:tcPr>
            <w:tcW w:w="781" w:type="dxa"/>
            <w:tcMar>
              <w:top w:w="57" w:type="dxa"/>
            </w:tcMar>
          </w:tcPr>
          <w:p w:rsidR="0019723C" w:rsidRPr="005B544D" w:rsidRDefault="0019723C" w:rsidP="00267119">
            <w:pPr>
              <w:spacing w:before="120" w:after="120"/>
              <w:ind w:right="-247"/>
              <w:jc w:val="left"/>
              <w:rPr>
                <w:rFonts w:cs="Arial"/>
                <w:sz w:val="16"/>
                <w:szCs w:val="16"/>
              </w:rPr>
            </w:pPr>
            <w:r w:rsidRPr="005B544D">
              <w:rPr>
                <w:rFonts w:cs="Arial"/>
                <w:sz w:val="16"/>
                <w:szCs w:val="16"/>
              </w:rPr>
              <w:t>7.0</w:t>
            </w:r>
          </w:p>
        </w:tc>
        <w:tc>
          <w:tcPr>
            <w:tcW w:w="3105" w:type="dxa"/>
            <w:tcMar>
              <w:top w:w="57" w:type="dxa"/>
            </w:tcMar>
          </w:tcPr>
          <w:p w:rsidR="0019723C" w:rsidRPr="005B544D" w:rsidRDefault="0019723C" w:rsidP="00335174">
            <w:pPr>
              <w:spacing w:before="120" w:after="120"/>
              <w:jc w:val="left"/>
              <w:rPr>
                <w:rFonts w:cs="Arial"/>
                <w:sz w:val="16"/>
                <w:szCs w:val="16"/>
              </w:rPr>
            </w:pPr>
            <w:r w:rsidRPr="005B544D">
              <w:rPr>
                <w:rFonts w:cs="Arial"/>
                <w:sz w:val="16"/>
                <w:szCs w:val="16"/>
              </w:rPr>
              <w:t>Update to links and wording as well as process enhancements. Addition of CTP / Legacy / VCS and broker portal.</w:t>
            </w:r>
          </w:p>
        </w:tc>
        <w:tc>
          <w:tcPr>
            <w:tcW w:w="1417" w:type="dxa"/>
            <w:tcMar>
              <w:top w:w="57" w:type="dxa"/>
            </w:tcMar>
          </w:tcPr>
          <w:p w:rsidR="0019723C" w:rsidRPr="005B544D" w:rsidRDefault="0019723C" w:rsidP="00335174">
            <w:pPr>
              <w:spacing w:before="120" w:after="120"/>
              <w:jc w:val="left"/>
              <w:rPr>
                <w:rFonts w:cs="Arial"/>
                <w:sz w:val="16"/>
                <w:szCs w:val="16"/>
              </w:rPr>
            </w:pPr>
            <w:r w:rsidRPr="005B544D">
              <w:rPr>
                <w:rFonts w:cs="Arial"/>
                <w:sz w:val="16"/>
                <w:szCs w:val="16"/>
              </w:rPr>
              <w:t>Enhancements made throughout Q1 2014</w:t>
            </w:r>
          </w:p>
        </w:tc>
        <w:tc>
          <w:tcPr>
            <w:tcW w:w="1560" w:type="dxa"/>
            <w:tcMar>
              <w:top w:w="57" w:type="dxa"/>
            </w:tcMar>
          </w:tcPr>
          <w:p w:rsidR="0019723C" w:rsidRPr="005B544D" w:rsidRDefault="0019723C" w:rsidP="00267119">
            <w:pPr>
              <w:spacing w:before="120" w:after="120"/>
              <w:ind w:right="-108"/>
              <w:jc w:val="left"/>
              <w:rPr>
                <w:rFonts w:cs="Arial"/>
                <w:sz w:val="16"/>
                <w:szCs w:val="16"/>
              </w:rPr>
            </w:pPr>
            <w:r w:rsidRPr="005B544D">
              <w:rPr>
                <w:rFonts w:cs="Arial"/>
                <w:sz w:val="16"/>
                <w:szCs w:val="16"/>
              </w:rPr>
              <w:t>1</w:t>
            </w:r>
            <w:r w:rsidR="00267119" w:rsidRPr="005B544D">
              <w:rPr>
                <w:rFonts w:cs="Arial"/>
                <w:sz w:val="16"/>
                <w:szCs w:val="16"/>
                <w:vertAlign w:val="superscript"/>
              </w:rPr>
              <w:t xml:space="preserve">st </w:t>
            </w:r>
            <w:r w:rsidRPr="005B544D">
              <w:rPr>
                <w:rFonts w:cs="Arial"/>
                <w:sz w:val="16"/>
                <w:szCs w:val="16"/>
              </w:rPr>
              <w:t>April 2014</w:t>
            </w:r>
          </w:p>
        </w:tc>
        <w:tc>
          <w:tcPr>
            <w:tcW w:w="1316" w:type="dxa"/>
            <w:tcMar>
              <w:top w:w="57" w:type="dxa"/>
            </w:tcMar>
          </w:tcPr>
          <w:p w:rsidR="0019723C" w:rsidRPr="005B544D" w:rsidRDefault="0019723C" w:rsidP="00335174">
            <w:pPr>
              <w:spacing w:before="120" w:after="120"/>
              <w:jc w:val="left"/>
              <w:rPr>
                <w:rFonts w:cs="Arial"/>
                <w:sz w:val="16"/>
                <w:szCs w:val="16"/>
              </w:rPr>
            </w:pPr>
            <w:r w:rsidRPr="005B544D">
              <w:rPr>
                <w:rFonts w:cs="Arial"/>
                <w:sz w:val="16"/>
                <w:szCs w:val="16"/>
              </w:rPr>
              <w:t>Lloyd’s: 7.0</w:t>
            </w:r>
          </w:p>
          <w:p w:rsidR="0019723C" w:rsidRPr="005B544D" w:rsidRDefault="0019723C" w:rsidP="00335174">
            <w:pPr>
              <w:spacing w:before="120" w:after="120"/>
              <w:jc w:val="left"/>
              <w:rPr>
                <w:rFonts w:cs="Arial"/>
                <w:sz w:val="16"/>
                <w:szCs w:val="16"/>
              </w:rPr>
            </w:pPr>
            <w:r w:rsidRPr="005B544D">
              <w:rPr>
                <w:rFonts w:cs="Arial"/>
                <w:sz w:val="16"/>
                <w:szCs w:val="16"/>
              </w:rPr>
              <w:t>Company Market: 4.0</w:t>
            </w:r>
          </w:p>
        </w:tc>
      </w:tr>
    </w:tbl>
    <w:p w:rsidR="00B24D97" w:rsidRPr="00D64309" w:rsidRDefault="00B24D97" w:rsidP="005D6535">
      <w:pPr>
        <w:pStyle w:val="Heading2"/>
      </w:pPr>
      <w:bookmarkStart w:id="11" w:name="_Toc396989112"/>
      <w:bookmarkStart w:id="12" w:name="_Toc112226813"/>
      <w:bookmarkStart w:id="13" w:name="_Toc134427278"/>
      <w:bookmarkStart w:id="14" w:name="_Toc142277037"/>
      <w:r w:rsidRPr="00D64309">
        <w:t>ECF Scope</w:t>
      </w:r>
      <w:bookmarkEnd w:id="11"/>
    </w:p>
    <w:p w:rsidR="00B24D97" w:rsidRPr="00D64309" w:rsidRDefault="00B24D97" w:rsidP="00861774">
      <w:pPr>
        <w:rPr>
          <w:rFonts w:cs="Arial"/>
        </w:rPr>
      </w:pPr>
      <w:r w:rsidRPr="00D64309">
        <w:rPr>
          <w:rFonts w:cs="Arial"/>
        </w:rPr>
        <w:t>There are certain circumstances that ECF has not been required to support and some other instances where system change or further definition of market processes is required to enable full support. The claims and business types that are not currently supported by ECF can be split into two categories as detailed below:</w:t>
      </w:r>
    </w:p>
    <w:p w:rsidR="00B24D97" w:rsidRPr="00D64309" w:rsidRDefault="00B24D97" w:rsidP="004A55D9">
      <w:pPr>
        <w:pStyle w:val="Heading2"/>
        <w:rPr>
          <w:rFonts w:cs="Arial"/>
        </w:rPr>
      </w:pPr>
      <w:bookmarkStart w:id="15" w:name="_Toc389214776"/>
      <w:bookmarkStart w:id="16" w:name="_Toc396989113"/>
      <w:r w:rsidRPr="00D64309">
        <w:rPr>
          <w:rFonts w:cs="Arial"/>
        </w:rPr>
        <w:t>Business or Claim Types that ECF has Never Been Required to Support</w:t>
      </w:r>
      <w:bookmarkEnd w:id="15"/>
      <w:bookmarkEnd w:id="16"/>
    </w:p>
    <w:p w:rsidR="00B24D97" w:rsidRPr="00275F2D" w:rsidRDefault="00B24D97" w:rsidP="004A55D9">
      <w:pPr>
        <w:pStyle w:val="Bullets"/>
        <w:rPr>
          <w:rFonts w:cs="Arial"/>
          <w:color w:val="FF0000"/>
        </w:rPr>
      </w:pPr>
      <w:r w:rsidRPr="00D64309">
        <w:rPr>
          <w:rFonts w:cs="Arial"/>
        </w:rPr>
        <w:t xml:space="preserve">Claims on unsigned </w:t>
      </w:r>
      <w:r w:rsidRPr="00764FCA">
        <w:rPr>
          <w:rFonts w:cs="Arial"/>
        </w:rPr>
        <w:t>risks (</w:t>
      </w:r>
      <w:r w:rsidRPr="00275F2D">
        <w:rPr>
          <w:rFonts w:cs="Arial"/>
        </w:rPr>
        <w:t xml:space="preserve">see section </w:t>
      </w:r>
      <w:hyperlink w:anchor="_Claims_on_Unsigned" w:history="1">
        <w:r w:rsidR="00275F2D" w:rsidRPr="00275F2D">
          <w:rPr>
            <w:rStyle w:val="Hyperlink"/>
          </w:rPr>
          <w:t>2.3.7</w:t>
        </w:r>
      </w:hyperlink>
      <w:r w:rsidRPr="00275F2D">
        <w:rPr>
          <w:rFonts w:cs="Arial"/>
        </w:rPr>
        <w:t xml:space="preserve"> for further details)</w:t>
      </w:r>
    </w:p>
    <w:p w:rsidR="00B24D97" w:rsidRPr="00D64309" w:rsidRDefault="00B24D97" w:rsidP="004A55D9">
      <w:pPr>
        <w:pStyle w:val="Bullets"/>
        <w:rPr>
          <w:rFonts w:cs="Arial"/>
        </w:rPr>
      </w:pPr>
      <w:r w:rsidRPr="00D64309">
        <w:rPr>
          <w:rFonts w:cs="Arial"/>
        </w:rPr>
        <w:t>Claims Payable Abroad (CPA)</w:t>
      </w:r>
    </w:p>
    <w:p w:rsidR="00B24D97" w:rsidRPr="00D64309" w:rsidRDefault="00B24D97" w:rsidP="004A55D9">
      <w:pPr>
        <w:pStyle w:val="Bullets"/>
        <w:rPr>
          <w:rFonts w:cs="Arial"/>
        </w:rPr>
      </w:pPr>
      <w:r w:rsidRPr="00D64309">
        <w:rPr>
          <w:rFonts w:cs="Arial"/>
        </w:rPr>
        <w:t>General Average (GA) and marine salvage (where a guarantee is issued and administered by XCS)</w:t>
      </w:r>
    </w:p>
    <w:p w:rsidR="00B24D97" w:rsidRPr="00D64309" w:rsidRDefault="00B24D97" w:rsidP="00262B7A">
      <w:pPr>
        <w:pStyle w:val="Bullets"/>
        <w:rPr>
          <w:rFonts w:cs="Arial"/>
        </w:rPr>
      </w:pPr>
      <w:r w:rsidRPr="00D64309">
        <w:rPr>
          <w:rFonts w:cs="Arial"/>
        </w:rPr>
        <w:t>Letters of Credit, Loss Reserves and Outstanding Cash Advance (OCAs)</w:t>
      </w:r>
    </w:p>
    <w:p w:rsidR="00B24D97" w:rsidRPr="00D64309" w:rsidRDefault="00B24D97" w:rsidP="004A55D9">
      <w:pPr>
        <w:pStyle w:val="Bullets"/>
        <w:rPr>
          <w:rFonts w:cs="Arial"/>
        </w:rPr>
      </w:pPr>
      <w:r w:rsidRPr="00D64309">
        <w:rPr>
          <w:rFonts w:cs="Arial"/>
        </w:rPr>
        <w:t>Proportional Treaties (Treaty Scheme)</w:t>
      </w:r>
    </w:p>
    <w:p w:rsidR="00B24D97" w:rsidRPr="00764FCA" w:rsidRDefault="00B24D97" w:rsidP="004A55D9">
      <w:pPr>
        <w:pStyle w:val="Bullets"/>
        <w:rPr>
          <w:rFonts w:cs="Arial"/>
        </w:rPr>
      </w:pPr>
      <w:r w:rsidRPr="00D64309">
        <w:rPr>
          <w:rFonts w:cs="Arial"/>
        </w:rPr>
        <w:t xml:space="preserve">Scheme Canada </w:t>
      </w:r>
      <w:r w:rsidRPr="00275F2D">
        <w:rPr>
          <w:rFonts w:cs="Arial"/>
        </w:rPr>
        <w:t>(except for Above Auth</w:t>
      </w:r>
      <w:r w:rsidR="002A0406" w:rsidRPr="00275F2D">
        <w:rPr>
          <w:rFonts w:cs="Arial"/>
        </w:rPr>
        <w:t xml:space="preserve">ority claims, see section </w:t>
      </w:r>
      <w:hyperlink w:anchor="_Above_Authority_Claims" w:history="1">
        <w:r w:rsidR="00275F2D" w:rsidRPr="00275F2D">
          <w:rPr>
            <w:rStyle w:val="Hyperlink"/>
            <w:rFonts w:cs="Arial"/>
          </w:rPr>
          <w:t>2.20.7</w:t>
        </w:r>
      </w:hyperlink>
      <w:r w:rsidRPr="00275F2D">
        <w:rPr>
          <w:rFonts w:cs="Arial"/>
        </w:rPr>
        <w:t>)</w:t>
      </w:r>
    </w:p>
    <w:p w:rsidR="00B24D97" w:rsidRDefault="00B24D97" w:rsidP="004A55D9">
      <w:pPr>
        <w:pStyle w:val="Bullets"/>
        <w:rPr>
          <w:rFonts w:cs="Arial"/>
        </w:rPr>
      </w:pPr>
      <w:r w:rsidRPr="00D64309">
        <w:rPr>
          <w:rFonts w:cs="Arial"/>
        </w:rPr>
        <w:t>Bulk Settlements</w:t>
      </w:r>
    </w:p>
    <w:p w:rsidR="00010B82" w:rsidRDefault="00010B82" w:rsidP="00010B82">
      <w:pPr>
        <w:pStyle w:val="Bullets"/>
        <w:numPr>
          <w:ilvl w:val="0"/>
          <w:numId w:val="0"/>
        </w:numPr>
        <w:ind w:left="397" w:hanging="397"/>
        <w:rPr>
          <w:rFonts w:cs="Arial"/>
        </w:rPr>
      </w:pPr>
    </w:p>
    <w:p w:rsidR="00530CF8" w:rsidRDefault="00530CF8" w:rsidP="00010B82">
      <w:pPr>
        <w:pStyle w:val="Bullets"/>
        <w:numPr>
          <w:ilvl w:val="0"/>
          <w:numId w:val="0"/>
        </w:numPr>
        <w:ind w:left="397" w:hanging="397"/>
        <w:rPr>
          <w:rFonts w:cs="Arial"/>
        </w:rPr>
      </w:pPr>
    </w:p>
    <w:p w:rsidR="00530CF8" w:rsidRDefault="00530CF8" w:rsidP="00010B82">
      <w:pPr>
        <w:pStyle w:val="Bullets"/>
        <w:numPr>
          <w:ilvl w:val="0"/>
          <w:numId w:val="0"/>
        </w:numPr>
        <w:ind w:left="397" w:hanging="397"/>
        <w:rPr>
          <w:rFonts w:cs="Arial"/>
        </w:rPr>
      </w:pPr>
    </w:p>
    <w:p w:rsidR="00530CF8" w:rsidRDefault="00530CF8" w:rsidP="00010B82">
      <w:pPr>
        <w:pStyle w:val="Bullets"/>
        <w:numPr>
          <w:ilvl w:val="0"/>
          <w:numId w:val="0"/>
        </w:numPr>
        <w:ind w:left="397" w:hanging="397"/>
        <w:rPr>
          <w:rFonts w:cs="Arial"/>
        </w:rPr>
      </w:pPr>
    </w:p>
    <w:p w:rsidR="00530CF8" w:rsidRDefault="00530CF8" w:rsidP="00010B82">
      <w:pPr>
        <w:pStyle w:val="Bullets"/>
        <w:numPr>
          <w:ilvl w:val="0"/>
          <w:numId w:val="0"/>
        </w:numPr>
        <w:ind w:left="397" w:hanging="397"/>
        <w:rPr>
          <w:rFonts w:cs="Arial"/>
        </w:rPr>
      </w:pPr>
    </w:p>
    <w:p w:rsidR="00530CF8" w:rsidRPr="00D64309" w:rsidRDefault="00530CF8" w:rsidP="00010B82">
      <w:pPr>
        <w:pStyle w:val="Bullets"/>
        <w:numPr>
          <w:ilvl w:val="0"/>
          <w:numId w:val="0"/>
        </w:numPr>
        <w:ind w:left="397" w:hanging="397"/>
        <w:rPr>
          <w:rFonts w:cs="Arial"/>
        </w:rPr>
      </w:pPr>
    </w:p>
    <w:p w:rsidR="00B24D97" w:rsidRPr="00D64309" w:rsidRDefault="00B24D97" w:rsidP="007C69DB">
      <w:pPr>
        <w:pStyle w:val="Heading2"/>
        <w:rPr>
          <w:rFonts w:cs="Arial"/>
        </w:rPr>
      </w:pPr>
      <w:bookmarkStart w:id="17" w:name="_Toc389214777"/>
      <w:bookmarkStart w:id="18" w:name="_Toc396989114"/>
      <w:r w:rsidRPr="00D64309">
        <w:rPr>
          <w:rFonts w:cs="Arial"/>
        </w:rPr>
        <w:lastRenderedPageBreak/>
        <w:t>Business or Claim Types Excluded from the Current Implementation of ECF</w:t>
      </w:r>
      <w:bookmarkEnd w:id="17"/>
      <w:bookmarkEnd w:id="18"/>
    </w:p>
    <w:p w:rsidR="00B24D97" w:rsidRPr="00D64309" w:rsidRDefault="00B24D97" w:rsidP="00585158">
      <w:pPr>
        <w:pStyle w:val="Bullets"/>
        <w:numPr>
          <w:ilvl w:val="0"/>
          <w:numId w:val="0"/>
        </w:numPr>
        <w:spacing w:after="120"/>
        <w:rPr>
          <w:rFonts w:cs="Arial"/>
        </w:rPr>
      </w:pPr>
      <w:r w:rsidRPr="00D64309">
        <w:rPr>
          <w:rFonts w:cs="Arial"/>
        </w:rPr>
        <w:t xml:space="preserve">The classes of business and types of claims or situations detailed in the list below are excluded from the current implementation of ECF and require further analysis before a solution can be developed. </w:t>
      </w:r>
    </w:p>
    <w:p w:rsidR="00B24D97" w:rsidRPr="00275F2D" w:rsidRDefault="00B24D97" w:rsidP="00E25481">
      <w:pPr>
        <w:pStyle w:val="Bullets"/>
        <w:rPr>
          <w:rFonts w:cs="Arial"/>
        </w:rPr>
      </w:pPr>
      <w:r w:rsidRPr="00275F2D">
        <w:rPr>
          <w:rFonts w:cs="Arial"/>
        </w:rPr>
        <w:t>Co-Lead Binding Authorities (see sectio</w:t>
      </w:r>
      <w:r w:rsidR="00275F2D">
        <w:rPr>
          <w:rFonts w:cs="Arial"/>
        </w:rPr>
        <w:t xml:space="preserve">n </w:t>
      </w:r>
      <w:hyperlink w:anchor="_Co-Lead_Binding_Authorities" w:history="1">
        <w:r w:rsidR="00275F2D" w:rsidRPr="00275F2D">
          <w:rPr>
            <w:rStyle w:val="Hyperlink"/>
            <w:rFonts w:cs="Arial"/>
          </w:rPr>
          <w:t>2.20.6</w:t>
        </w:r>
      </w:hyperlink>
      <w:r w:rsidRPr="00275F2D">
        <w:rPr>
          <w:rFonts w:cs="Arial"/>
        </w:rPr>
        <w:t>)</w:t>
      </w:r>
    </w:p>
    <w:p w:rsidR="00B24D97" w:rsidRPr="00275F2D" w:rsidRDefault="00B24D97" w:rsidP="00585158">
      <w:pPr>
        <w:pStyle w:val="Bullets"/>
        <w:rPr>
          <w:rFonts w:cs="Arial"/>
        </w:rPr>
      </w:pPr>
      <w:r w:rsidRPr="00275F2D">
        <w:rPr>
          <w:rFonts w:cs="Arial"/>
        </w:rPr>
        <w:t>Certain Multiple OSND claims (see section</w:t>
      </w:r>
      <w:r w:rsidR="00275F2D">
        <w:rPr>
          <w:rFonts w:cs="Arial"/>
        </w:rPr>
        <w:t xml:space="preserve"> </w:t>
      </w:r>
      <w:hyperlink w:anchor="_Multiple_OSNDs" w:history="1">
        <w:r w:rsidR="00275F2D" w:rsidRPr="00275F2D">
          <w:rPr>
            <w:rStyle w:val="Hyperlink"/>
            <w:rFonts w:cs="Arial"/>
          </w:rPr>
          <w:t>2.15</w:t>
        </w:r>
      </w:hyperlink>
      <w:r w:rsidR="00275F2D">
        <w:rPr>
          <w:rFonts w:cs="Arial"/>
        </w:rPr>
        <w:t>)</w:t>
      </w:r>
    </w:p>
    <w:p w:rsidR="00284AEA" w:rsidRDefault="00284AEA" w:rsidP="00284AEA">
      <w:pPr>
        <w:pStyle w:val="Bullets"/>
        <w:numPr>
          <w:ilvl w:val="0"/>
          <w:numId w:val="0"/>
        </w:numPr>
        <w:ind w:left="397" w:hanging="397"/>
        <w:rPr>
          <w:rFonts w:cs="Arial"/>
        </w:rPr>
      </w:pPr>
    </w:p>
    <w:p w:rsidR="00284AEA" w:rsidRPr="00284AEA" w:rsidRDefault="00284AEA" w:rsidP="00284AEA">
      <w:pPr>
        <w:rPr>
          <w:rFonts w:cs="Arial"/>
          <w:szCs w:val="22"/>
        </w:rPr>
      </w:pPr>
      <w:r w:rsidRPr="00284AEA">
        <w:rPr>
          <w:rFonts w:cs="Arial"/>
          <w:bCs/>
          <w:szCs w:val="22"/>
        </w:rPr>
        <w:t xml:space="preserve">There are issues with CLASS that require that certain scenarios must remain out of the scope of ECF or process workarounds followed. Additionally, there are occasions when </w:t>
      </w:r>
      <w:r w:rsidRPr="00284AEA">
        <w:rPr>
          <w:rFonts w:cs="Arial"/>
          <w:szCs w:val="22"/>
        </w:rPr>
        <w:t>the presentation by the Broker is sufficient for the Agreement Parties to action but not for Xchanging to perform back office processing. The latter issues are detailed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436"/>
      </w:tblGrid>
      <w:tr w:rsidR="00284AEA" w:rsidRPr="00260894" w:rsidTr="00E9648E">
        <w:trPr>
          <w:cantSplit/>
          <w:tblHeader/>
        </w:trPr>
        <w:tc>
          <w:tcPr>
            <w:tcW w:w="1809" w:type="dxa"/>
            <w:shd w:val="clear" w:color="auto" w:fill="C0C0C0"/>
            <w:vAlign w:val="center"/>
          </w:tcPr>
          <w:p w:rsidR="00284AEA" w:rsidRPr="00284AEA" w:rsidRDefault="00284AEA" w:rsidP="00E9648E">
            <w:pPr>
              <w:jc w:val="center"/>
              <w:rPr>
                <w:rFonts w:cs="Arial"/>
                <w:b/>
                <w:sz w:val="18"/>
                <w:szCs w:val="18"/>
              </w:rPr>
            </w:pPr>
            <w:r w:rsidRPr="00284AEA">
              <w:rPr>
                <w:rFonts w:cs="Arial"/>
                <w:b/>
                <w:sz w:val="18"/>
                <w:szCs w:val="18"/>
              </w:rPr>
              <w:t>Issue/Scenario</w:t>
            </w:r>
          </w:p>
        </w:tc>
        <w:tc>
          <w:tcPr>
            <w:tcW w:w="7436" w:type="dxa"/>
            <w:shd w:val="clear" w:color="auto" w:fill="C0C0C0"/>
            <w:vAlign w:val="center"/>
          </w:tcPr>
          <w:p w:rsidR="00284AEA" w:rsidRPr="00284AEA" w:rsidRDefault="00284AEA" w:rsidP="00E9648E">
            <w:pPr>
              <w:tabs>
                <w:tab w:val="center" w:pos="4153"/>
                <w:tab w:val="right" w:pos="8306"/>
              </w:tabs>
              <w:jc w:val="center"/>
              <w:rPr>
                <w:rFonts w:cs="Arial"/>
                <w:b/>
                <w:sz w:val="18"/>
                <w:szCs w:val="18"/>
              </w:rPr>
            </w:pPr>
            <w:r w:rsidRPr="00284AEA">
              <w:rPr>
                <w:rFonts w:cs="Arial"/>
                <w:b/>
                <w:sz w:val="18"/>
                <w:szCs w:val="18"/>
              </w:rPr>
              <w:t>Description</w:t>
            </w:r>
          </w:p>
        </w:tc>
      </w:tr>
      <w:tr w:rsidR="00284AEA" w:rsidRPr="00260894" w:rsidTr="00E9648E">
        <w:trPr>
          <w:cantSplit/>
        </w:trPr>
        <w:tc>
          <w:tcPr>
            <w:tcW w:w="1809" w:type="dxa"/>
          </w:tcPr>
          <w:p w:rsidR="00284AEA" w:rsidRPr="00284AEA" w:rsidRDefault="00284AEA" w:rsidP="00E9648E">
            <w:pPr>
              <w:tabs>
                <w:tab w:val="center" w:pos="4153"/>
                <w:tab w:val="right" w:pos="8306"/>
              </w:tabs>
              <w:jc w:val="left"/>
              <w:rPr>
                <w:rFonts w:cs="Arial"/>
                <w:b/>
                <w:sz w:val="18"/>
                <w:szCs w:val="18"/>
              </w:rPr>
            </w:pPr>
            <w:r w:rsidRPr="00284AEA">
              <w:rPr>
                <w:rFonts w:cs="Arial"/>
                <w:b/>
                <w:sz w:val="18"/>
                <w:szCs w:val="18"/>
              </w:rPr>
              <w:t>Multiple OSNDs</w:t>
            </w:r>
          </w:p>
        </w:tc>
        <w:tc>
          <w:tcPr>
            <w:tcW w:w="7436" w:type="dxa"/>
          </w:tcPr>
          <w:p w:rsidR="00284AEA" w:rsidRPr="00284AEA" w:rsidRDefault="00284AEA" w:rsidP="00E9648E">
            <w:pPr>
              <w:spacing w:after="120"/>
              <w:rPr>
                <w:rFonts w:cs="Arial"/>
                <w:sz w:val="18"/>
                <w:szCs w:val="18"/>
              </w:rPr>
            </w:pPr>
            <w:r w:rsidRPr="00284AEA">
              <w:rPr>
                <w:rFonts w:cs="Arial"/>
                <w:sz w:val="18"/>
                <w:szCs w:val="18"/>
              </w:rPr>
              <w:t xml:space="preserve">A ramification of a claim which has multiple OSNDs is that other “pseudo leaders” are forced to participate as an Agreement Party when in reality they are not. (e.g. licensed / unlicensed signing schedules). </w:t>
            </w:r>
            <w:r w:rsidRPr="00284AEA">
              <w:rPr>
                <w:rFonts w:cs="Arial"/>
                <w:b/>
                <w:sz w:val="18"/>
                <w:szCs w:val="18"/>
              </w:rPr>
              <w:t>For this reason, certain claims requiring these functions are out of scope for ECF</w:t>
            </w:r>
            <w:r w:rsidRPr="00284AEA">
              <w:rPr>
                <w:rFonts w:cs="Arial"/>
                <w:sz w:val="18"/>
                <w:szCs w:val="18"/>
              </w:rPr>
              <w:t xml:space="preserve">, please see </w:t>
            </w:r>
            <w:r w:rsidRPr="00764FCA">
              <w:rPr>
                <w:rFonts w:cs="Arial"/>
                <w:sz w:val="18"/>
                <w:szCs w:val="18"/>
              </w:rPr>
              <w:t xml:space="preserve">section </w:t>
            </w:r>
            <w:fldSimple w:instr=" REF  MultipleOSNDs \n  \* MERGEFORMAT ">
              <w:r w:rsidR="00893EB3" w:rsidRPr="00893EB3">
                <w:rPr>
                  <w:rFonts w:cs="Arial"/>
                  <w:sz w:val="18"/>
                  <w:szCs w:val="18"/>
                </w:rPr>
                <w:t>2.15</w:t>
              </w:r>
            </w:fldSimple>
            <w:r w:rsidRPr="00764FCA">
              <w:rPr>
                <w:rFonts w:cs="Arial"/>
                <w:sz w:val="18"/>
                <w:szCs w:val="18"/>
              </w:rPr>
              <w:t xml:space="preserve"> for</w:t>
            </w:r>
            <w:r w:rsidRPr="00284AEA">
              <w:rPr>
                <w:rFonts w:cs="Arial"/>
                <w:sz w:val="18"/>
                <w:szCs w:val="18"/>
              </w:rPr>
              <w:t xml:space="preserve"> further details.</w:t>
            </w:r>
          </w:p>
        </w:tc>
      </w:tr>
      <w:tr w:rsidR="00284AEA" w:rsidRPr="00D64309" w:rsidTr="00E9648E">
        <w:trPr>
          <w:cantSplit/>
        </w:trPr>
        <w:tc>
          <w:tcPr>
            <w:tcW w:w="1809" w:type="dxa"/>
          </w:tcPr>
          <w:p w:rsidR="00284AEA" w:rsidRPr="00284AEA" w:rsidRDefault="00284AEA" w:rsidP="00E9648E">
            <w:pPr>
              <w:jc w:val="left"/>
              <w:rPr>
                <w:rFonts w:cs="Arial"/>
                <w:b/>
                <w:sz w:val="18"/>
                <w:szCs w:val="18"/>
              </w:rPr>
            </w:pPr>
            <w:r w:rsidRPr="00284AEA">
              <w:rPr>
                <w:rFonts w:cs="Arial"/>
                <w:b/>
                <w:sz w:val="18"/>
                <w:szCs w:val="18"/>
              </w:rPr>
              <w:t>Multiple Agreement Parties</w:t>
            </w:r>
          </w:p>
        </w:tc>
        <w:tc>
          <w:tcPr>
            <w:tcW w:w="7436" w:type="dxa"/>
          </w:tcPr>
          <w:p w:rsidR="00284AEA" w:rsidRPr="00284AEA" w:rsidRDefault="00284AEA" w:rsidP="00E9648E">
            <w:pPr>
              <w:spacing w:after="120"/>
              <w:rPr>
                <w:rFonts w:cs="Arial"/>
                <w:sz w:val="18"/>
                <w:szCs w:val="18"/>
              </w:rPr>
            </w:pPr>
            <w:r w:rsidRPr="00284AEA">
              <w:rPr>
                <w:rFonts w:cs="Arial"/>
                <w:sz w:val="18"/>
                <w:szCs w:val="18"/>
              </w:rPr>
              <w:t>Where the Lead Agreement Party has specified further Agreement Parties on a transaction and responded, XCS can subsequently modify the number of Agreement Parties</w:t>
            </w:r>
            <w:r w:rsidR="00764FCA">
              <w:rPr>
                <w:rFonts w:cs="Arial"/>
                <w:sz w:val="18"/>
                <w:szCs w:val="18"/>
              </w:rPr>
              <w:t xml:space="preserve">. </w:t>
            </w:r>
            <w:r w:rsidRPr="00284AEA">
              <w:rPr>
                <w:rFonts w:cs="Arial"/>
                <w:sz w:val="18"/>
                <w:szCs w:val="18"/>
              </w:rPr>
              <w:t>If XCS remove the parties added by the Lead Agreement Party this deletes all record of those additional parties ever having agreed the claim and means that XCS can continue with the XCS CLASS process.</w:t>
            </w:r>
          </w:p>
          <w:p w:rsidR="00284AEA" w:rsidRPr="00284AEA" w:rsidRDefault="00284AEA" w:rsidP="00E9648E">
            <w:pPr>
              <w:spacing w:after="120"/>
              <w:rPr>
                <w:rFonts w:cs="Arial"/>
                <w:sz w:val="18"/>
                <w:szCs w:val="18"/>
              </w:rPr>
            </w:pPr>
            <w:r w:rsidRPr="00284AEA">
              <w:rPr>
                <w:rFonts w:cs="Arial"/>
                <w:sz w:val="18"/>
                <w:szCs w:val="18"/>
              </w:rPr>
              <w:t>If the Lead Agreement Party and XCS have both agreed a transaction (but XCS has not yet processed the XCS CLASS record to release the SCM) the Lead Agreement Party can enter the transaction and modify Agreement Parties. In this instance the system should recognise that the transaction requires a new response from XCS before the claim can be processed in XCS CLASS to produce the SCM and USM (where applicable).</w:t>
            </w:r>
          </w:p>
        </w:tc>
      </w:tr>
    </w:tbl>
    <w:p w:rsidR="00284AEA" w:rsidRPr="00D64309" w:rsidRDefault="00284AEA" w:rsidP="00284AEA">
      <w:pPr>
        <w:pStyle w:val="Bullets"/>
        <w:numPr>
          <w:ilvl w:val="0"/>
          <w:numId w:val="0"/>
        </w:numPr>
        <w:ind w:left="397" w:hanging="397"/>
        <w:rPr>
          <w:rFonts w:cs="Arial"/>
        </w:rPr>
      </w:pPr>
    </w:p>
    <w:p w:rsidR="00B24D97" w:rsidRPr="00D64309" w:rsidRDefault="00B24D97" w:rsidP="00D50656">
      <w:pPr>
        <w:rPr>
          <w:rFonts w:cs="Arial"/>
        </w:rPr>
      </w:pPr>
      <w:r w:rsidRPr="00D64309">
        <w:rPr>
          <w:rFonts w:cs="Arial"/>
        </w:rPr>
        <w:t>During the life of an electronic claim situations may arise where a claim has to revert to paper. These are detailed within the body of this document.</w:t>
      </w:r>
    </w:p>
    <w:p w:rsidR="00B24D97" w:rsidRDefault="00B24D97" w:rsidP="00D50656">
      <w:pPr>
        <w:rPr>
          <w:rFonts w:cs="Arial"/>
        </w:rPr>
      </w:pPr>
      <w:r w:rsidRPr="00D64309">
        <w:rPr>
          <w:rFonts w:cs="Arial"/>
        </w:rPr>
        <w:t>Where parties involved in ECF early implementations (prior to Phase 5 delivery of ECF) have successfully implemented any of the above classes of business and are not in contravention of the Repository Rules, those parties may continue to process these claims electronically.</w:t>
      </w:r>
    </w:p>
    <w:p w:rsidR="00B24D97" w:rsidRPr="00D64309" w:rsidRDefault="00B24D97" w:rsidP="008E7E51">
      <w:pPr>
        <w:pStyle w:val="Heading2"/>
        <w:rPr>
          <w:rFonts w:cs="Arial"/>
        </w:rPr>
      </w:pPr>
      <w:bookmarkStart w:id="19" w:name="_Toc389214778"/>
      <w:bookmarkStart w:id="20" w:name="_Toc396989115"/>
      <w:r w:rsidRPr="00D64309">
        <w:rPr>
          <w:rFonts w:cs="Arial"/>
        </w:rPr>
        <w:t>Escalation Procedure</w:t>
      </w:r>
      <w:bookmarkEnd w:id="19"/>
      <w:bookmarkEnd w:id="20"/>
    </w:p>
    <w:p w:rsidR="00B24D97" w:rsidRPr="00D64309" w:rsidRDefault="00B24D97" w:rsidP="008E7E51">
      <w:pPr>
        <w:rPr>
          <w:rFonts w:cs="Arial"/>
        </w:rPr>
      </w:pPr>
      <w:r w:rsidRPr="00D64309">
        <w:rPr>
          <w:rFonts w:cs="Arial"/>
        </w:rPr>
        <w:t>Each managing agent and broker should have an ECF Project Manager and Business Sponsor. It is strongly recommended that users know who these individuals are within their own organisations. Where questions arise as to whether a particular claim or class of business is either in or out of scope, these questions should be raised via users’ appropriate Project Manager or Business Sponsor. In this way, agreed discussion may take place between appropriate parties within the managing agent, broker</w:t>
      </w:r>
      <w:r w:rsidR="002A0406" w:rsidRPr="00D64309">
        <w:rPr>
          <w:rFonts w:cs="Arial"/>
        </w:rPr>
        <w:t>, LMG</w:t>
      </w:r>
      <w:r w:rsidRPr="00D64309">
        <w:rPr>
          <w:rFonts w:cs="Arial"/>
        </w:rPr>
        <w:t xml:space="preserve"> and XCS organisations. It is hoped that these discussions will result in more claims being able to be handled via ECF.</w:t>
      </w:r>
    </w:p>
    <w:p w:rsidR="00B24D97" w:rsidRPr="00D64309" w:rsidRDefault="00B24D97" w:rsidP="008E7E51">
      <w:pPr>
        <w:rPr>
          <w:rFonts w:cs="Arial"/>
        </w:rPr>
      </w:pPr>
      <w:r w:rsidRPr="00D64309">
        <w:rPr>
          <w:rFonts w:cs="Arial"/>
        </w:rPr>
        <w:t xml:space="preserve">Organisations’ Business Sponsors or Project Managers may raise issues with </w:t>
      </w:r>
      <w:r w:rsidR="002A0406" w:rsidRPr="00D64309">
        <w:rPr>
          <w:rFonts w:cs="Arial"/>
        </w:rPr>
        <w:t>the LMG</w:t>
      </w:r>
      <w:r w:rsidRPr="00D64309">
        <w:rPr>
          <w:rFonts w:cs="Arial"/>
        </w:rPr>
        <w:t>, for discussion at either the Electronic Claims File User Group (ECFUG) or the Brokers’ Electronic Claims Committee (BECC) if necessary.</w:t>
      </w:r>
    </w:p>
    <w:p w:rsidR="00B24D97" w:rsidRPr="00BC2770" w:rsidRDefault="00B24D97" w:rsidP="00293F55">
      <w:pPr>
        <w:pStyle w:val="Heading1"/>
        <w:rPr>
          <w:rFonts w:cs="Arial"/>
          <w:sz w:val="20"/>
          <w:szCs w:val="20"/>
        </w:rPr>
      </w:pPr>
      <w:bookmarkStart w:id="21" w:name="FiveStages"/>
      <w:bookmarkStart w:id="22" w:name="_Toc389214779"/>
      <w:bookmarkStart w:id="23" w:name="_Toc396989116"/>
      <w:bookmarkEnd w:id="21"/>
      <w:r w:rsidRPr="00BC2770">
        <w:rPr>
          <w:rFonts w:cs="Arial"/>
          <w:sz w:val="20"/>
          <w:szCs w:val="20"/>
        </w:rPr>
        <w:t>Lloyd’s generic Systems Processes and Procedures</w:t>
      </w:r>
      <w:bookmarkEnd w:id="22"/>
      <w:bookmarkEnd w:id="23"/>
    </w:p>
    <w:p w:rsidR="00B24D97" w:rsidRPr="00D64309" w:rsidRDefault="00B24D97" w:rsidP="005D6535">
      <w:pPr>
        <w:spacing w:before="120" w:after="120"/>
        <w:rPr>
          <w:rFonts w:cs="Arial"/>
        </w:rPr>
      </w:pPr>
      <w:r w:rsidRPr="00D64309">
        <w:rPr>
          <w:rFonts w:cs="Arial"/>
        </w:rPr>
        <w:t xml:space="preserve">With respect to the Lloyd’s business process model for electronic claims, the process can be divided into five </w:t>
      </w:r>
      <w:r w:rsidR="00D15101">
        <w:rPr>
          <w:rFonts w:cs="Arial"/>
        </w:rPr>
        <w:t>key areas</w:t>
      </w:r>
      <w:r w:rsidRPr="00D64309">
        <w:rPr>
          <w:rFonts w:cs="Arial"/>
        </w:rPr>
        <w:t>:</w:t>
      </w:r>
    </w:p>
    <w:p w:rsidR="00B24D97" w:rsidRPr="005B544D" w:rsidRDefault="00B24D97" w:rsidP="005D6535">
      <w:pPr>
        <w:numPr>
          <w:ilvl w:val="0"/>
          <w:numId w:val="4"/>
        </w:numPr>
        <w:tabs>
          <w:tab w:val="left" w:pos="567"/>
        </w:tabs>
        <w:spacing w:before="120" w:after="120"/>
        <w:ind w:left="567" w:hanging="567"/>
        <w:rPr>
          <w:rFonts w:cs="Arial"/>
        </w:rPr>
      </w:pPr>
      <w:r w:rsidRPr="005B544D">
        <w:rPr>
          <w:rFonts w:cs="Arial"/>
        </w:rPr>
        <w:t>Create or update claim file</w:t>
      </w:r>
    </w:p>
    <w:p w:rsidR="00B24D97" w:rsidRPr="005B544D" w:rsidRDefault="00B24D97" w:rsidP="005D6535">
      <w:pPr>
        <w:numPr>
          <w:ilvl w:val="0"/>
          <w:numId w:val="4"/>
        </w:numPr>
        <w:tabs>
          <w:tab w:val="clear" w:pos="720"/>
          <w:tab w:val="num" w:pos="-2835"/>
          <w:tab w:val="left" w:pos="567"/>
        </w:tabs>
        <w:spacing w:before="120" w:after="120"/>
        <w:ind w:left="567" w:hanging="567"/>
        <w:rPr>
          <w:rFonts w:cs="Arial"/>
        </w:rPr>
      </w:pPr>
      <w:r w:rsidRPr="005B544D">
        <w:rPr>
          <w:rFonts w:cs="Arial"/>
        </w:rPr>
        <w:t>Establish Agreement Parties</w:t>
      </w:r>
    </w:p>
    <w:p w:rsidR="00B24D97" w:rsidRPr="005B544D" w:rsidRDefault="00B24D97" w:rsidP="005D6535">
      <w:pPr>
        <w:numPr>
          <w:ilvl w:val="0"/>
          <w:numId w:val="4"/>
        </w:numPr>
        <w:tabs>
          <w:tab w:val="clear" w:pos="720"/>
          <w:tab w:val="num" w:pos="-2835"/>
          <w:tab w:val="left" w:pos="567"/>
        </w:tabs>
        <w:spacing w:before="120" w:after="120"/>
        <w:ind w:left="567" w:hanging="567"/>
        <w:rPr>
          <w:rFonts w:cs="Arial"/>
        </w:rPr>
      </w:pPr>
      <w:r w:rsidRPr="005B544D">
        <w:rPr>
          <w:rFonts w:cs="Arial"/>
        </w:rPr>
        <w:t>Consider claim</w:t>
      </w:r>
    </w:p>
    <w:p w:rsidR="00B24D97" w:rsidRPr="005B544D" w:rsidRDefault="00B24D97" w:rsidP="005D6535">
      <w:pPr>
        <w:numPr>
          <w:ilvl w:val="0"/>
          <w:numId w:val="4"/>
        </w:numPr>
        <w:tabs>
          <w:tab w:val="clear" w:pos="720"/>
          <w:tab w:val="num" w:pos="-2835"/>
          <w:tab w:val="left" w:pos="567"/>
        </w:tabs>
        <w:spacing w:before="120" w:after="120"/>
        <w:ind w:left="567" w:hanging="567"/>
        <w:rPr>
          <w:rFonts w:cs="Arial"/>
        </w:rPr>
      </w:pPr>
      <w:r w:rsidRPr="005B544D">
        <w:rPr>
          <w:rFonts w:cs="Arial"/>
        </w:rPr>
        <w:lastRenderedPageBreak/>
        <w:t>Add response</w:t>
      </w:r>
      <w:r w:rsidR="005B544D" w:rsidRPr="005B544D">
        <w:rPr>
          <w:rFonts w:cs="Arial"/>
        </w:rPr>
        <w:t xml:space="preserve"> inc queries, reserving and delegation</w:t>
      </w:r>
    </w:p>
    <w:p w:rsidR="00B24D97" w:rsidRPr="005B544D" w:rsidRDefault="00B24D97" w:rsidP="005D6535">
      <w:pPr>
        <w:numPr>
          <w:ilvl w:val="0"/>
          <w:numId w:val="4"/>
        </w:numPr>
        <w:tabs>
          <w:tab w:val="clear" w:pos="720"/>
          <w:tab w:val="num" w:pos="-2835"/>
          <w:tab w:val="left" w:pos="567"/>
        </w:tabs>
        <w:spacing w:before="120" w:after="120"/>
        <w:ind w:left="567" w:hanging="567"/>
        <w:rPr>
          <w:rFonts w:cs="Arial"/>
        </w:rPr>
      </w:pPr>
      <w:r w:rsidRPr="005B544D">
        <w:rPr>
          <w:rFonts w:cs="Arial"/>
        </w:rPr>
        <w:t>Create Syndicate records, process settlements and create advice to market</w:t>
      </w:r>
    </w:p>
    <w:p w:rsidR="00B24D97" w:rsidRPr="00D64309" w:rsidRDefault="00B24D97" w:rsidP="005D6535">
      <w:pPr>
        <w:spacing w:before="120" w:after="120"/>
        <w:rPr>
          <w:rFonts w:cs="Arial"/>
        </w:rPr>
      </w:pPr>
      <w:r w:rsidRPr="00D64309">
        <w:rPr>
          <w:rFonts w:cs="Arial"/>
        </w:rPr>
        <w:t xml:space="preserve">These have been described and expanded upon in the following sections of this document. The ECF process maps </w:t>
      </w:r>
      <w:r w:rsidRPr="00010B82">
        <w:rPr>
          <w:rFonts w:cs="Arial"/>
        </w:rPr>
        <w:t xml:space="preserve">in </w:t>
      </w:r>
      <w:hyperlink w:anchor="_APPENDIx_B_–" w:history="1">
        <w:r w:rsidRPr="00070A3B">
          <w:rPr>
            <w:rStyle w:val="Hyperlink"/>
            <w:rFonts w:cs="Arial"/>
          </w:rPr>
          <w:t>section</w:t>
        </w:r>
        <w:r w:rsidR="00070A3B" w:rsidRPr="00070A3B">
          <w:rPr>
            <w:rStyle w:val="Hyperlink"/>
            <w:rFonts w:cs="Arial"/>
          </w:rPr>
          <w:t xml:space="preserve"> 7</w:t>
        </w:r>
      </w:hyperlink>
      <w:r w:rsidRPr="00D64309">
        <w:rPr>
          <w:rFonts w:cs="Arial"/>
        </w:rPr>
        <w:t xml:space="preserve"> have been reviewed and signed off by </w:t>
      </w:r>
      <w:r w:rsidRPr="000115A1">
        <w:rPr>
          <w:rFonts w:cs="Arial"/>
        </w:rPr>
        <w:t xml:space="preserve">the </w:t>
      </w:r>
      <w:r w:rsidR="004433DE" w:rsidRPr="000115A1">
        <w:rPr>
          <w:rFonts w:cs="Arial"/>
        </w:rPr>
        <w:t xml:space="preserve"> Electronic Claims File User Group (ECFUG).</w:t>
      </w:r>
    </w:p>
    <w:p w:rsidR="00B24D97" w:rsidRPr="00D64309" w:rsidRDefault="00B24D97" w:rsidP="00FA6717">
      <w:pPr>
        <w:rPr>
          <w:rFonts w:cs="Arial"/>
        </w:rPr>
      </w:pPr>
      <w:r w:rsidRPr="00D64309">
        <w:rPr>
          <w:rFonts w:cs="Arial"/>
        </w:rPr>
        <w:t xml:space="preserve">Any variation not detailed in the process map is dealt </w:t>
      </w:r>
      <w:r w:rsidRPr="00764FCA">
        <w:rPr>
          <w:rFonts w:cs="Arial"/>
        </w:rPr>
        <w:t xml:space="preserve">with </w:t>
      </w:r>
      <w:r w:rsidR="00764FCA" w:rsidRPr="00764FCA">
        <w:rPr>
          <w:rFonts w:cs="Arial"/>
        </w:rPr>
        <w:t>from s</w:t>
      </w:r>
      <w:r w:rsidRPr="00764FCA">
        <w:rPr>
          <w:rFonts w:cs="Arial"/>
        </w:rPr>
        <w:t xml:space="preserve">ection </w:t>
      </w:r>
      <w:fldSimple w:instr=" REF  Variations \n  \* MERGEFORMAT ">
        <w:r w:rsidR="00893EB3" w:rsidRPr="00893EB3">
          <w:rPr>
            <w:rFonts w:cs="Arial"/>
          </w:rPr>
          <w:t>2.11.2.1</w:t>
        </w:r>
      </w:fldSimple>
      <w:bookmarkStart w:id="24" w:name="_Toc142277022"/>
      <w:bookmarkStart w:id="25" w:name="_Toc144017834"/>
      <w:r w:rsidR="00764FCA" w:rsidRPr="00764FCA">
        <w:rPr>
          <w:rFonts w:cs="Arial"/>
        </w:rPr>
        <w:t xml:space="preserve"> onwards.</w:t>
      </w:r>
    </w:p>
    <w:p w:rsidR="00B24D97" w:rsidRPr="00D64309" w:rsidRDefault="00B24D97" w:rsidP="00FA6717">
      <w:pPr>
        <w:pStyle w:val="Heading2"/>
        <w:rPr>
          <w:rFonts w:cs="Arial"/>
        </w:rPr>
      </w:pPr>
      <w:bookmarkStart w:id="26" w:name="_Toc389214780"/>
      <w:bookmarkStart w:id="27" w:name="_Toc396989117"/>
      <w:r w:rsidRPr="00D64309">
        <w:rPr>
          <w:rFonts w:cs="Arial"/>
        </w:rPr>
        <w:t>Points to Note</w:t>
      </w:r>
      <w:bookmarkEnd w:id="24"/>
      <w:bookmarkEnd w:id="25"/>
      <w:r w:rsidRPr="00D64309">
        <w:rPr>
          <w:rFonts w:cs="Arial"/>
        </w:rPr>
        <w:t xml:space="preserve"> When Using the Electronic Claims File</w:t>
      </w:r>
      <w:bookmarkEnd w:id="26"/>
      <w:bookmarkEnd w:id="27"/>
    </w:p>
    <w:p w:rsidR="00B24D97" w:rsidRPr="00D64309" w:rsidRDefault="00B24D97" w:rsidP="00EB5345">
      <w:pPr>
        <w:pStyle w:val="Bullets"/>
        <w:tabs>
          <w:tab w:val="clear" w:pos="397"/>
          <w:tab w:val="num" w:pos="567"/>
        </w:tabs>
        <w:spacing w:after="120"/>
        <w:ind w:left="567" w:hanging="567"/>
        <w:rPr>
          <w:rFonts w:cs="Arial"/>
        </w:rPr>
      </w:pPr>
      <w:r w:rsidRPr="00D64309">
        <w:rPr>
          <w:rFonts w:cs="Arial"/>
        </w:rPr>
        <w:t>The contents belong to insurers</w:t>
      </w:r>
    </w:p>
    <w:p w:rsidR="00B24D97" w:rsidRPr="00D64309" w:rsidRDefault="00B24D97" w:rsidP="00EB5345">
      <w:pPr>
        <w:pStyle w:val="Bullets"/>
        <w:tabs>
          <w:tab w:val="clear" w:pos="397"/>
          <w:tab w:val="num" w:pos="567"/>
        </w:tabs>
        <w:spacing w:after="120"/>
        <w:ind w:left="567" w:hanging="567"/>
        <w:rPr>
          <w:rFonts w:cs="Arial"/>
        </w:rPr>
      </w:pPr>
      <w:r w:rsidRPr="00D64309">
        <w:rPr>
          <w:rFonts w:cs="Arial"/>
        </w:rPr>
        <w:t>All comments, once posted, cannot be deleted from the ECF.</w:t>
      </w:r>
    </w:p>
    <w:p w:rsidR="00B24D97" w:rsidRPr="00D64309" w:rsidRDefault="00B24D97" w:rsidP="00EB5345">
      <w:pPr>
        <w:pStyle w:val="Bullets"/>
        <w:tabs>
          <w:tab w:val="clear" w:pos="397"/>
          <w:tab w:val="num" w:pos="567"/>
        </w:tabs>
        <w:spacing w:after="120"/>
        <w:ind w:left="567" w:hanging="567"/>
        <w:rPr>
          <w:rFonts w:cs="Arial"/>
        </w:rPr>
      </w:pPr>
      <w:r w:rsidRPr="00D64309">
        <w:rPr>
          <w:rFonts w:cs="Arial"/>
        </w:rPr>
        <w:t xml:space="preserve">Documents, once loaded, cannot be deleted from the ECF; however </w:t>
      </w:r>
      <w:r w:rsidR="002845D3">
        <w:rPr>
          <w:rFonts w:cs="Arial"/>
        </w:rPr>
        <w:t xml:space="preserve">if a document has been loaded in error, </w:t>
      </w:r>
      <w:r w:rsidRPr="00D64309">
        <w:rPr>
          <w:rFonts w:cs="Arial"/>
        </w:rPr>
        <w:t>Xchanging system administrators do have the necessary functionality to limit access to documents when they have been given appropriate authority.</w:t>
      </w:r>
    </w:p>
    <w:p w:rsidR="00B24D97" w:rsidRPr="00D64309" w:rsidRDefault="00B24D97" w:rsidP="00EB5345">
      <w:pPr>
        <w:pStyle w:val="Bullets"/>
        <w:tabs>
          <w:tab w:val="clear" w:pos="397"/>
          <w:tab w:val="num" w:pos="567"/>
        </w:tabs>
        <w:spacing w:after="120"/>
        <w:ind w:left="567" w:hanging="567"/>
        <w:rPr>
          <w:rFonts w:cs="Arial"/>
        </w:rPr>
      </w:pPr>
      <w:r w:rsidRPr="00D64309">
        <w:rPr>
          <w:rFonts w:cs="Arial"/>
        </w:rPr>
        <w:t>Agreement parties should maintain confidentiality and confer where appropriate prior to placing comments on the system.</w:t>
      </w:r>
    </w:p>
    <w:p w:rsidR="00B24D97" w:rsidRPr="00D64309" w:rsidRDefault="00B24D97" w:rsidP="00EB5345">
      <w:pPr>
        <w:pStyle w:val="Bullets"/>
        <w:tabs>
          <w:tab w:val="clear" w:pos="397"/>
          <w:tab w:val="num" w:pos="567"/>
        </w:tabs>
        <w:spacing w:after="120"/>
        <w:ind w:left="567" w:hanging="567"/>
        <w:rPr>
          <w:rFonts w:cs="Arial"/>
        </w:rPr>
      </w:pPr>
      <w:r w:rsidRPr="00D64309">
        <w:rPr>
          <w:rFonts w:cs="Arial"/>
        </w:rPr>
        <w:t>Any documentation relating to the claim that is actioned outside of ECF (e.g. by email, fax, etc) should be stored on the repository in the relevant part of the UCR.</w:t>
      </w:r>
    </w:p>
    <w:p w:rsidR="00B24D97" w:rsidRPr="00D64309" w:rsidRDefault="00B24D97" w:rsidP="00BD4680">
      <w:pPr>
        <w:pStyle w:val="Heading2"/>
        <w:rPr>
          <w:rFonts w:cs="Arial"/>
        </w:rPr>
      </w:pPr>
      <w:bookmarkStart w:id="28" w:name="_Toc142277166"/>
      <w:bookmarkStart w:id="29" w:name="_Toc389214781"/>
      <w:bookmarkStart w:id="30" w:name="_Toc396989118"/>
      <w:r w:rsidRPr="00D64309">
        <w:rPr>
          <w:rFonts w:cs="Arial"/>
        </w:rPr>
        <w:t>ECF Roles, Responsibilities &amp; Data Requirements</w:t>
      </w:r>
      <w:bookmarkEnd w:id="28"/>
      <w:bookmarkEnd w:id="29"/>
      <w:bookmarkEnd w:id="30"/>
    </w:p>
    <w:p w:rsidR="00847DBE" w:rsidRDefault="00B24D97" w:rsidP="00BD4680">
      <w:pPr>
        <w:rPr>
          <w:rFonts w:cs="Arial"/>
        </w:rPr>
      </w:pPr>
      <w:r w:rsidRPr="00D64309">
        <w:rPr>
          <w:rFonts w:cs="Arial"/>
        </w:rPr>
        <w:t xml:space="preserve">The following tables provide a quick reference as to the roles and responsibilities of specific parties when using the electronic claims file under the 2006 Claims Scheme. Please note that the roles &amp; responsibilities of both XCS and the Lead Lloyd’s Underwriter may vary for claims being handled under the 2010 Claims Scheme (i.e. CTP). They are reproduced from the Xchanging owned document: </w:t>
      </w:r>
      <w:r w:rsidRPr="00D64309">
        <w:rPr>
          <w:rFonts w:cs="Arial"/>
          <w:i/>
        </w:rPr>
        <w:t xml:space="preserve">ECF Roles, Responsibilities </w:t>
      </w:r>
      <w:r w:rsidR="00010B82">
        <w:rPr>
          <w:rFonts w:cs="Arial"/>
          <w:i/>
        </w:rPr>
        <w:t>XCS technical processing 03.09.13</w:t>
      </w:r>
      <w:r w:rsidRPr="00D64309">
        <w:rPr>
          <w:rFonts w:cs="Arial"/>
        </w:rPr>
        <w:t>.</w:t>
      </w:r>
      <w:r w:rsidR="007C6900" w:rsidRPr="009B13FA">
        <w:rPr>
          <w:rFonts w:cs="Arial"/>
          <w:highlight w:val="green"/>
        </w:rPr>
        <w:t xml:space="preserve"> </w:t>
      </w:r>
    </w:p>
    <w:p w:rsidR="000115A1" w:rsidRPr="00D64309" w:rsidRDefault="00485EE1" w:rsidP="00BD4680">
      <w:pPr>
        <w:rPr>
          <w:rFonts w:cs="Arial"/>
        </w:rPr>
      </w:pPr>
      <w:r w:rsidRPr="00A02D81">
        <w:rPr>
          <w:rFonts w:cs="Arial"/>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Excel.Sheet.12" ShapeID="_x0000_i1025" DrawAspect="Icon" ObjectID="_1478348838" r:id="rId11"/>
        </w:object>
      </w:r>
    </w:p>
    <w:p w:rsidR="00B24D97" w:rsidRPr="00BC2770" w:rsidRDefault="00B24D97" w:rsidP="00EF287E">
      <w:pPr>
        <w:pStyle w:val="Heading2"/>
        <w:tabs>
          <w:tab w:val="left" w:pos="1843"/>
        </w:tabs>
        <w:rPr>
          <w:rFonts w:cs="Arial"/>
        </w:rPr>
      </w:pPr>
      <w:bookmarkStart w:id="31" w:name="LloydsClaimsProcessByFiveStages"/>
      <w:bookmarkStart w:id="32" w:name="_Toc112226814"/>
      <w:bookmarkStart w:id="33" w:name="_Toc134427279"/>
      <w:bookmarkStart w:id="34" w:name="_Toc142277038"/>
      <w:bookmarkStart w:id="35" w:name="_Toc389214783"/>
      <w:bookmarkStart w:id="36" w:name="_Toc396989119"/>
      <w:bookmarkEnd w:id="31"/>
      <w:bookmarkEnd w:id="12"/>
      <w:bookmarkEnd w:id="13"/>
      <w:bookmarkEnd w:id="14"/>
      <w:r w:rsidRPr="00BC2770">
        <w:rPr>
          <w:rFonts w:cs="Arial"/>
        </w:rPr>
        <w:t>Create or Update Claim File</w:t>
      </w:r>
      <w:bookmarkEnd w:id="32"/>
      <w:bookmarkEnd w:id="33"/>
      <w:bookmarkEnd w:id="34"/>
      <w:bookmarkEnd w:id="35"/>
      <w:bookmarkEnd w:id="36"/>
    </w:p>
    <w:p w:rsidR="00B24D97" w:rsidRDefault="00B24D97" w:rsidP="00D83B64">
      <w:pPr>
        <w:rPr>
          <w:rFonts w:cs="Arial"/>
        </w:rPr>
      </w:pPr>
      <w:r w:rsidRPr="00D64309">
        <w:rPr>
          <w:rFonts w:cs="Arial"/>
        </w:rPr>
        <w:t xml:space="preserve">Broker creates the claims entry (note there are three types of claims submission and the process is the same for all: initial advice of a loss, advice of additional information and a </w:t>
      </w:r>
      <w:r w:rsidR="00AF01AC" w:rsidRPr="00D64309">
        <w:rPr>
          <w:rFonts w:cs="Arial"/>
        </w:rPr>
        <w:t>settlement</w:t>
      </w:r>
      <w:r w:rsidR="00AF01AC" w:rsidRPr="00AF01AC">
        <w:rPr>
          <w:rFonts w:cs="Arial"/>
        </w:rPr>
        <w:t xml:space="preserve"> request</w:t>
      </w:r>
      <w:r w:rsidRPr="00AF01AC">
        <w:rPr>
          <w:rFonts w:cs="Arial"/>
        </w:rPr>
        <w:t>).</w:t>
      </w:r>
      <w:r w:rsidRPr="00D64309">
        <w:rPr>
          <w:rFonts w:cs="Arial"/>
        </w:rPr>
        <w:t xml:space="preserve"> It is essential that all CLASS entries are either completed via CLASS or deleted entirely.</w:t>
      </w:r>
    </w:p>
    <w:p w:rsidR="00B24D97" w:rsidRPr="00EB5345" w:rsidRDefault="00B24D97" w:rsidP="006A39A9">
      <w:pPr>
        <w:pStyle w:val="Heading3"/>
      </w:pPr>
      <w:bookmarkStart w:id="37" w:name="_Toc112226815"/>
      <w:bookmarkStart w:id="38" w:name="_Toc134427280"/>
      <w:bookmarkStart w:id="39" w:name="_Toc142277039"/>
      <w:bookmarkStart w:id="40" w:name="_Toc389214784"/>
      <w:bookmarkStart w:id="41" w:name="_Toc396989120"/>
      <w:r w:rsidRPr="00EB5345">
        <w:t>Broker Retrieves Placing File, Slip and Matches Coverage</w:t>
      </w:r>
      <w:bookmarkEnd w:id="37"/>
      <w:bookmarkEnd w:id="38"/>
      <w:bookmarkEnd w:id="39"/>
      <w:bookmarkEnd w:id="40"/>
      <w:bookmarkEnd w:id="41"/>
    </w:p>
    <w:p w:rsidR="00B24D97" w:rsidRPr="00D64309" w:rsidRDefault="00B24D97" w:rsidP="00D83B64">
      <w:pPr>
        <w:spacing w:after="120"/>
        <w:rPr>
          <w:rFonts w:cs="Arial"/>
          <w:szCs w:val="22"/>
        </w:rPr>
      </w:pPr>
      <w:r w:rsidRPr="00D64309">
        <w:rPr>
          <w:rFonts w:cs="Arial"/>
          <w:szCs w:val="22"/>
        </w:rPr>
        <w:t>On receipt of an initial advice of loss, the Broker will retrieve the corresponding policy, signed slip, and wording or contract as appropriate, and match coverage.</w:t>
      </w:r>
    </w:p>
    <w:p w:rsidR="00B24D97" w:rsidRPr="002B61B1" w:rsidRDefault="00B24D97" w:rsidP="00D83B64">
      <w:pPr>
        <w:pStyle w:val="Heading3"/>
        <w:rPr>
          <w:rFonts w:cs="Arial"/>
        </w:rPr>
      </w:pPr>
      <w:bookmarkStart w:id="42" w:name="BrokerAdvisesCarriers"/>
      <w:bookmarkStart w:id="43" w:name="_Toc112226816"/>
      <w:bookmarkStart w:id="44" w:name="_Toc134427281"/>
      <w:bookmarkStart w:id="45" w:name="_Toc142277040"/>
      <w:bookmarkStart w:id="46" w:name="_Toc389214785"/>
      <w:bookmarkStart w:id="47" w:name="_Toc396989121"/>
      <w:bookmarkEnd w:id="42"/>
      <w:r w:rsidRPr="002B61B1">
        <w:rPr>
          <w:rFonts w:cs="Arial"/>
        </w:rPr>
        <w:t xml:space="preserve">Broker Advises </w:t>
      </w:r>
      <w:bookmarkEnd w:id="43"/>
      <w:bookmarkEnd w:id="44"/>
      <w:bookmarkEnd w:id="45"/>
      <w:r w:rsidRPr="002B61B1">
        <w:rPr>
          <w:rFonts w:cs="Arial"/>
        </w:rPr>
        <w:t>Managing Agencies</w:t>
      </w:r>
      <w:bookmarkEnd w:id="46"/>
      <w:bookmarkEnd w:id="47"/>
    </w:p>
    <w:p w:rsidR="00B24D97" w:rsidRPr="005B3189" w:rsidRDefault="00B24D97" w:rsidP="00D83B64">
      <w:pPr>
        <w:rPr>
          <w:rFonts w:cs="Arial"/>
        </w:rPr>
      </w:pPr>
      <w:r w:rsidRPr="005B3189">
        <w:rPr>
          <w:rFonts w:cs="Arial"/>
        </w:rPr>
        <w:t>The Broker will create a CLASS entry and load appropriate documents into the IMR</w:t>
      </w:r>
      <w:r w:rsidR="00847DBE" w:rsidRPr="005B3189">
        <w:rPr>
          <w:rFonts w:cs="Arial"/>
        </w:rPr>
        <w:t xml:space="preserve"> either manually, via </w:t>
      </w:r>
      <w:r w:rsidR="00847DBE" w:rsidRPr="00711872">
        <w:rPr>
          <w:rFonts w:cs="Arial"/>
        </w:rPr>
        <w:t>direct load or the broker portal and</w:t>
      </w:r>
      <w:r w:rsidR="009B13FA" w:rsidRPr="00711872">
        <w:rPr>
          <w:rFonts w:cs="Arial"/>
        </w:rPr>
        <w:t xml:space="preserve"> </w:t>
      </w:r>
      <w:r w:rsidRPr="00711872">
        <w:rPr>
          <w:rFonts w:cs="Arial"/>
        </w:rPr>
        <w:t>where possible, comply with the document naming conventions detailed in sectio</w:t>
      </w:r>
      <w:r w:rsidR="00711872" w:rsidRPr="00711872">
        <w:rPr>
          <w:rFonts w:cs="Arial"/>
        </w:rPr>
        <w:t xml:space="preserve">n </w:t>
      </w:r>
      <w:hyperlink w:anchor="_Document_Guidelines" w:history="1">
        <w:r w:rsidR="00070A3B" w:rsidRPr="00070A3B">
          <w:rPr>
            <w:rStyle w:val="Hyperlink"/>
            <w:rFonts w:cs="Arial"/>
          </w:rPr>
          <w:t>2.3.11</w:t>
        </w:r>
      </w:hyperlink>
      <w:r w:rsidRPr="00711872">
        <w:rPr>
          <w:rFonts w:cs="Arial"/>
        </w:rPr>
        <w:t>, including (but not limited to):</w:t>
      </w:r>
    </w:p>
    <w:p w:rsidR="00B24D97" w:rsidRPr="005B3189" w:rsidRDefault="00B24D97" w:rsidP="00EB5345">
      <w:pPr>
        <w:pStyle w:val="Bullets"/>
      </w:pPr>
      <w:r w:rsidRPr="005B3189">
        <w:t>Placing documents (including slip and contract wording etc)</w:t>
      </w:r>
    </w:p>
    <w:p w:rsidR="00B24D97" w:rsidRPr="005B3189" w:rsidRDefault="00B24D97" w:rsidP="00EB5345">
      <w:pPr>
        <w:pStyle w:val="Bullets"/>
      </w:pPr>
      <w:r w:rsidRPr="005B3189">
        <w:t>Copy of the claims advice or the collection notice as received from the insured or other advising party</w:t>
      </w:r>
    </w:p>
    <w:p w:rsidR="00B24D97" w:rsidRPr="005B3189" w:rsidRDefault="00B24D97" w:rsidP="00EB5345">
      <w:pPr>
        <w:pStyle w:val="Bullets"/>
      </w:pPr>
      <w:r w:rsidRPr="005B3189">
        <w:t>Claims calculations</w:t>
      </w:r>
    </w:p>
    <w:p w:rsidR="00B24D97" w:rsidRPr="005B3189" w:rsidRDefault="00B24D97" w:rsidP="00EB5345">
      <w:pPr>
        <w:pStyle w:val="Bullets"/>
      </w:pPr>
      <w:r w:rsidRPr="005B3189">
        <w:t>Reinstatement Premium calculations and/or any other loss generated premiums</w:t>
      </w:r>
    </w:p>
    <w:p w:rsidR="00B24D97" w:rsidRDefault="00B24D97" w:rsidP="00EB5345">
      <w:pPr>
        <w:pStyle w:val="Bullets"/>
      </w:pPr>
      <w:r w:rsidRPr="005B3189">
        <w:t>Any claims reports</w:t>
      </w:r>
    </w:p>
    <w:p w:rsidR="00EB5345" w:rsidRPr="005B3189" w:rsidRDefault="00EB5345" w:rsidP="00EB5345">
      <w:pPr>
        <w:pStyle w:val="Bullets"/>
        <w:numPr>
          <w:ilvl w:val="0"/>
          <w:numId w:val="0"/>
        </w:numPr>
        <w:ind w:left="397"/>
      </w:pPr>
    </w:p>
    <w:p w:rsidR="00B24D97" w:rsidRPr="005B3189" w:rsidRDefault="00B24D97" w:rsidP="00D83B64">
      <w:pPr>
        <w:rPr>
          <w:rFonts w:cs="Arial"/>
        </w:rPr>
      </w:pPr>
      <w:r w:rsidRPr="005B3189">
        <w:rPr>
          <w:rFonts w:cs="Arial"/>
        </w:rPr>
        <w:t>The supply of a valid UMR</w:t>
      </w:r>
      <w:r w:rsidR="002845D3" w:rsidRPr="005B3189">
        <w:rPr>
          <w:rFonts w:cs="Arial"/>
        </w:rPr>
        <w:t xml:space="preserve">, </w:t>
      </w:r>
      <w:r w:rsidRPr="005B3189">
        <w:rPr>
          <w:rFonts w:cs="Arial"/>
        </w:rPr>
        <w:t>UCR  TR is critical and consequently mandatory. The broker must ensure that each individual slip has a unique UMR.</w:t>
      </w:r>
    </w:p>
    <w:p w:rsidR="00B24D97" w:rsidRDefault="00B24D97" w:rsidP="00D83B64">
      <w:pPr>
        <w:rPr>
          <w:rFonts w:cs="Arial"/>
        </w:rPr>
      </w:pPr>
      <w:r w:rsidRPr="005B3189">
        <w:rPr>
          <w:rFonts w:cs="Arial"/>
        </w:rPr>
        <w:lastRenderedPageBreak/>
        <w:t>Brokers should also ensure that the “Slip Lead” field is correctly populated. This is a mandatory field and the transaction should be queried by the Lead Agreement Party if this field is not completed.</w:t>
      </w:r>
    </w:p>
    <w:p w:rsidR="00A16FF9" w:rsidRDefault="00A16FF9" w:rsidP="00D83B64">
      <w:r>
        <w:t>The broker portal and document management service (DMS) is designed to improve the quality of claim submission by introducing stricter validation around data fields and documentation, enhancing the presentation of the claim file. It is a web-based application that can be accessed seamlessly via the Claim Data Entry module in CLASS (Lloyd’s and Company).</w:t>
      </w:r>
    </w:p>
    <w:p w:rsidR="00A16FF9" w:rsidRDefault="00A16FF9" w:rsidP="00850058">
      <w:pPr>
        <w:tabs>
          <w:tab w:val="left" w:pos="600"/>
        </w:tabs>
      </w:pPr>
      <w:r>
        <w:t>The data validation via broker portal is for first advices only, howeve</w:t>
      </w:r>
      <w:r w:rsidR="00850058">
        <w:t xml:space="preserve">r the DMS element of the broker </w:t>
      </w:r>
      <w:r>
        <w:t>portal can be used whenever an advice is submit</w:t>
      </w:r>
      <w:r w:rsidR="00850058">
        <w:t>ted</w:t>
      </w:r>
      <w:r>
        <w:t xml:space="preserve"> via CLASS</w:t>
      </w:r>
      <w:r w:rsidR="00850058">
        <w:t>.</w:t>
      </w:r>
    </w:p>
    <w:p w:rsidR="00E50A37" w:rsidRDefault="00850058" w:rsidP="00E50A37">
      <w:pPr>
        <w:tabs>
          <w:tab w:val="left" w:pos="600"/>
        </w:tabs>
        <w:ind w:left="600" w:hanging="600"/>
      </w:pPr>
      <w:r w:rsidRPr="00E50A37">
        <w:t>Please refer to the link below for specification and user guide documents.</w:t>
      </w:r>
    </w:p>
    <w:p w:rsidR="00E50A37" w:rsidRDefault="00634191" w:rsidP="00E50A37">
      <w:pPr>
        <w:tabs>
          <w:tab w:val="left" w:pos="600"/>
        </w:tabs>
        <w:ind w:left="600" w:hanging="600"/>
      </w:pPr>
      <w:hyperlink r:id="rId12" w:history="1">
        <w:r w:rsidR="00E50A37" w:rsidRPr="00E50A37">
          <w:rPr>
            <w:rStyle w:val="Hyperlink"/>
          </w:rPr>
          <w:t>https://ecfdocs.xchanging.com/Home/Index/edc1149a-9e5d-4a4e-aa8d-fb4cd9dc8186</w:t>
        </w:r>
      </w:hyperlink>
    </w:p>
    <w:p w:rsidR="00B24D97" w:rsidRPr="005B3189" w:rsidRDefault="00B24D97" w:rsidP="00C50E0C">
      <w:pPr>
        <w:tabs>
          <w:tab w:val="left" w:pos="600"/>
        </w:tabs>
        <w:ind w:left="600" w:hanging="600"/>
        <w:rPr>
          <w:rFonts w:cs="Arial"/>
        </w:rPr>
      </w:pPr>
      <w:r w:rsidRPr="005B3189">
        <w:rPr>
          <w:rFonts w:cs="Arial"/>
          <w:b/>
        </w:rPr>
        <w:t>Note</w:t>
      </w:r>
      <w:r w:rsidRPr="005B3189">
        <w:rPr>
          <w:rFonts w:cs="Arial"/>
        </w:rPr>
        <w:t>:</w:t>
      </w:r>
      <w:r w:rsidRPr="005B3189">
        <w:rPr>
          <w:rFonts w:cs="Arial"/>
        </w:rPr>
        <w:tab/>
        <w:t xml:space="preserve">If the slip leader organisation is not an ECF user, Brokers </w:t>
      </w:r>
      <w:r w:rsidRPr="005B3189">
        <w:rPr>
          <w:rFonts w:cs="Arial"/>
          <w:b/>
        </w:rPr>
        <w:t>must</w:t>
      </w:r>
      <w:r w:rsidRPr="005B3189">
        <w:rPr>
          <w:rFonts w:cs="Arial"/>
        </w:rPr>
        <w:t xml:space="preserve"> enter the code for the first bureau lead that is an ECF user in this field. </w:t>
      </w:r>
    </w:p>
    <w:p w:rsidR="00B24D97" w:rsidRPr="005B3189" w:rsidRDefault="00B24D97" w:rsidP="00D83B64">
      <w:pPr>
        <w:rPr>
          <w:rFonts w:cs="Arial"/>
        </w:rPr>
      </w:pPr>
      <w:r w:rsidRPr="005B3189">
        <w:rPr>
          <w:rFonts w:cs="Arial"/>
        </w:rPr>
        <w:t xml:space="preserve">Additionally, </w:t>
      </w:r>
      <w:r w:rsidRPr="005B3189">
        <w:rPr>
          <w:rFonts w:cs="Arial"/>
          <w:iCs/>
        </w:rPr>
        <w:t xml:space="preserve">due to restrictions in the LIMCLM message. Only the following characters may be used in the narrative screen: </w:t>
      </w:r>
      <w:r w:rsidRPr="005B3189">
        <w:rPr>
          <w:rFonts w:cs="Arial"/>
          <w:b/>
          <w:iCs/>
        </w:rPr>
        <w:t>A-Z</w:t>
      </w:r>
      <w:r w:rsidRPr="005B3189">
        <w:rPr>
          <w:rFonts w:cs="Arial"/>
          <w:iCs/>
        </w:rPr>
        <w:t xml:space="preserve">, </w:t>
      </w:r>
      <w:r w:rsidRPr="005B3189">
        <w:rPr>
          <w:rFonts w:cs="Arial"/>
          <w:b/>
          <w:iCs/>
        </w:rPr>
        <w:t>a-z</w:t>
      </w:r>
      <w:r w:rsidRPr="005B3189">
        <w:rPr>
          <w:rFonts w:cs="Arial"/>
          <w:iCs/>
        </w:rPr>
        <w:t xml:space="preserve">, </w:t>
      </w:r>
      <w:r w:rsidRPr="005B3189">
        <w:rPr>
          <w:rFonts w:cs="Arial"/>
          <w:b/>
          <w:iCs/>
        </w:rPr>
        <w:t>0123456789</w:t>
      </w:r>
      <w:r w:rsidRPr="005B3189">
        <w:rPr>
          <w:rFonts w:cs="Arial"/>
          <w:iCs/>
        </w:rPr>
        <w:t xml:space="preserve">, </w:t>
      </w:r>
      <w:r w:rsidRPr="005B3189">
        <w:rPr>
          <w:rFonts w:cs="Arial"/>
          <w:b/>
          <w:iCs/>
        </w:rPr>
        <w:t>.,''-()/=+:?!"&amp;;&lt;&gt;*</w:t>
      </w:r>
      <w:r w:rsidR="00130BAB">
        <w:rPr>
          <w:rFonts w:cs="Arial"/>
          <w:b/>
          <w:iCs/>
        </w:rPr>
        <w:t>@</w:t>
      </w:r>
      <w:r w:rsidRPr="005B3189">
        <w:rPr>
          <w:rFonts w:cs="Arial"/>
          <w:iCs/>
        </w:rPr>
        <w:t>. The International Standards Organisation (ISO) currency code convention should be used in these fields e.g. USD, GBP</w:t>
      </w:r>
    </w:p>
    <w:p w:rsidR="00B24D97" w:rsidRPr="005B3189" w:rsidRDefault="00B24D97" w:rsidP="00D83B64">
      <w:pPr>
        <w:rPr>
          <w:rFonts w:cs="Arial"/>
        </w:rPr>
      </w:pPr>
      <w:r w:rsidRPr="005B3189">
        <w:rPr>
          <w:rFonts w:cs="Arial"/>
        </w:rPr>
        <w:t>Where supporting documentation exists that cannot be handled electronically, the Broker will present this to the slip leader who will agree as to how this will be made available to all insurers.</w:t>
      </w:r>
    </w:p>
    <w:p w:rsidR="00B24D97" w:rsidRPr="00A16FF9" w:rsidRDefault="00B24D97" w:rsidP="00D83B64">
      <w:pPr>
        <w:rPr>
          <w:rFonts w:cs="Arial"/>
        </w:rPr>
      </w:pPr>
      <w:r w:rsidRPr="00A16FF9">
        <w:rPr>
          <w:rFonts w:cs="Arial"/>
          <w:b/>
        </w:rPr>
        <w:t xml:space="preserve">Note: </w:t>
      </w:r>
      <w:r w:rsidRPr="00A16FF9">
        <w:rPr>
          <w:rFonts w:cs="Arial"/>
        </w:rPr>
        <w:t>When the situation arises that a broker loads documents under a UCR with a transaction that is subsequently deleted (and replaced with a transaction with a different UCR), the documents will be left on the IMR under a redundant UCR. The broker should liaise with the Lead Agreement Party to decide the best course of action for those documents, i.e. whether the Lead Agreement Party should request XIS system administrators to limit access to documents.</w:t>
      </w:r>
    </w:p>
    <w:p w:rsidR="00B24D97" w:rsidRPr="002B61B1" w:rsidRDefault="00B24D97" w:rsidP="00D83B64">
      <w:pPr>
        <w:rPr>
          <w:rFonts w:cs="Arial"/>
        </w:rPr>
      </w:pPr>
      <w:r w:rsidRPr="002B61B1">
        <w:rPr>
          <w:rFonts w:cs="Arial"/>
          <w:b/>
        </w:rPr>
        <w:t>Note:</w:t>
      </w:r>
      <w:r w:rsidRPr="002B61B1">
        <w:rPr>
          <w:rFonts w:cs="Arial"/>
        </w:rPr>
        <w:t xml:space="preserve"> When the situation arises that a broker mistakenly loads incorrect documents under a UCR, the broker should in all circumstances liaise with the Lead Agreement Party to decide the best course of action for those documents, i.e. whether the Lead Agreement Party should request XIS system administrators to limit access to documents.</w:t>
      </w:r>
    </w:p>
    <w:p w:rsidR="00B24D97" w:rsidRPr="002B61B1" w:rsidRDefault="00B24D97" w:rsidP="00D83B64">
      <w:pPr>
        <w:rPr>
          <w:rFonts w:cs="Arial"/>
        </w:rPr>
      </w:pPr>
      <w:r w:rsidRPr="002B61B1">
        <w:rPr>
          <w:rFonts w:cs="Arial"/>
          <w:b/>
        </w:rPr>
        <w:t>Note:</w:t>
      </w:r>
      <w:r w:rsidRPr="002B61B1">
        <w:rPr>
          <w:rFonts w:cs="Arial"/>
        </w:rPr>
        <w:t xml:space="preserve"> Brokers do not need to supply the Year of Account, this is derived from the risk record created by Xchanging when the claim is submitted and before it reaches the Lead Agreement Party.</w:t>
      </w:r>
    </w:p>
    <w:p w:rsidR="00B24D97" w:rsidRPr="002B61B1" w:rsidRDefault="00B24D97" w:rsidP="00D83B64">
      <w:pPr>
        <w:rPr>
          <w:rFonts w:cs="Arial"/>
        </w:rPr>
      </w:pPr>
      <w:r w:rsidRPr="002B61B1">
        <w:rPr>
          <w:rFonts w:cs="Arial"/>
          <w:b/>
        </w:rPr>
        <w:t>Note:</w:t>
      </w:r>
      <w:r w:rsidRPr="002B61B1">
        <w:rPr>
          <w:rFonts w:cs="Arial"/>
        </w:rPr>
        <w:t xml:space="preserve"> If a Broker submits a UCR based on a UMR, the UMR reference must not be changed midway through the lifetime of the UCR. Changing the UMR associated to a UCR midway causes a new IMR workspace to be created and transactions are therefore displayed across more than one workspace. In addition; the item in the Awaiting Action List may not be accessible to carriers – the item is displayed in red with a strikethrough and requires Xchanging Services Desk intervention to make this accessible. Therefore; if the Broker needs to change the UMR during the lifecycle of a claim, the broker must close down the original UCR and restart the entire claim on a new UCR with the new UMR.</w:t>
      </w:r>
    </w:p>
    <w:p w:rsidR="00B24D97" w:rsidRPr="00850058" w:rsidRDefault="00B24D97" w:rsidP="00D435A6">
      <w:pPr>
        <w:pStyle w:val="Heading3"/>
      </w:pPr>
      <w:bookmarkStart w:id="48" w:name="FirstAdviceWithSettlement"/>
      <w:bookmarkStart w:id="49" w:name="_Toc389214786"/>
      <w:bookmarkStart w:id="50" w:name="_Toc396989122"/>
      <w:bookmarkEnd w:id="48"/>
      <w:r w:rsidRPr="00850058">
        <w:t>First Advice With Settlement</w:t>
      </w:r>
      <w:bookmarkEnd w:id="49"/>
      <w:bookmarkEnd w:id="50"/>
    </w:p>
    <w:p w:rsidR="00850058" w:rsidRPr="00850058" w:rsidRDefault="00B24D97" w:rsidP="00EB5345">
      <w:pPr>
        <w:pStyle w:val="Bullets"/>
        <w:numPr>
          <w:ilvl w:val="0"/>
          <w:numId w:val="103"/>
        </w:numPr>
        <w:tabs>
          <w:tab w:val="clear" w:pos="-340"/>
          <w:tab w:val="num" w:pos="284"/>
        </w:tabs>
        <w:spacing w:after="120"/>
        <w:ind w:left="284" w:hanging="284"/>
        <w:rPr>
          <w:rFonts w:cs="Arial"/>
        </w:rPr>
      </w:pPr>
      <w:r w:rsidRPr="00850058">
        <w:rPr>
          <w:rFonts w:cs="Arial"/>
        </w:rPr>
        <w:t>Brokers may issue a First Advice with Settlement as one transaction, for action by the lead and s</w:t>
      </w:r>
      <w:r w:rsidR="00850058" w:rsidRPr="00850058">
        <w:rPr>
          <w:rFonts w:cs="Arial"/>
        </w:rPr>
        <w:t xml:space="preserve">ubsequent Agreement Parties. </w:t>
      </w:r>
      <w:r w:rsidRPr="00850058">
        <w:rPr>
          <w:rFonts w:cs="Arial"/>
        </w:rPr>
        <w:t>Agreement Parties should review the transaction and enter a response as appropriate. If Agreement Parties do not wish to enter a response of “Agree Pay” to agree the settlement, they should instead enter a response of “Query/Return” and enter public comments detailing the reason for the query.</w:t>
      </w:r>
      <w:r w:rsidR="00850058" w:rsidRPr="00850058">
        <w:rPr>
          <w:rFonts w:cs="Arial"/>
        </w:rPr>
        <w:t xml:space="preserve"> Consideration should be given to the query and communication between parties should occur in an attempt to resolve prior to the carriers response of “Query/Return”.</w:t>
      </w:r>
    </w:p>
    <w:p w:rsidR="00B24D97" w:rsidRPr="00850058" w:rsidRDefault="00B24D97" w:rsidP="00EB5345">
      <w:pPr>
        <w:pStyle w:val="Bullets"/>
        <w:numPr>
          <w:ilvl w:val="0"/>
          <w:numId w:val="103"/>
        </w:numPr>
        <w:tabs>
          <w:tab w:val="clear" w:pos="-340"/>
          <w:tab w:val="num" w:pos="284"/>
        </w:tabs>
        <w:spacing w:after="120"/>
        <w:ind w:left="284" w:hanging="284"/>
        <w:rPr>
          <w:rFonts w:cs="Arial"/>
        </w:rPr>
      </w:pPr>
      <w:r w:rsidRPr="00850058">
        <w:rPr>
          <w:rFonts w:cs="Arial"/>
        </w:rPr>
        <w:t xml:space="preserve">Once the transaction has been actioned by all Agreement Parties, XCS will review the claim. XCS will split the transaction to generate an initial SCM establishing the claim and the outstanding. XCS </w:t>
      </w:r>
      <w:r w:rsidRPr="00850058">
        <w:rPr>
          <w:rFonts w:cs="Arial"/>
        </w:rPr>
        <w:lastRenderedPageBreak/>
        <w:t>will then determine whether the settlement can be agreed. If the settlement can be agreed, XCS will generate a USM, BSM and a second SCM to process the settlement and will then enter a response to the transaction; otherwise XCS will enter a “Query/Return” response to the transaction for the broker to handle accordingly.</w:t>
      </w:r>
    </w:p>
    <w:p w:rsidR="00B24D97" w:rsidRPr="00AC02FD" w:rsidRDefault="00B24D97" w:rsidP="00D435A6">
      <w:pPr>
        <w:pStyle w:val="Heading3"/>
      </w:pPr>
      <w:bookmarkStart w:id="51" w:name="_Toc389214787"/>
      <w:bookmarkStart w:id="52" w:name="_Toc396989123"/>
      <w:r w:rsidRPr="009B13FA">
        <w:t>Settlement Currency</w:t>
      </w:r>
      <w:bookmarkEnd w:id="51"/>
      <w:bookmarkEnd w:id="52"/>
    </w:p>
    <w:p w:rsidR="00B24D97" w:rsidRPr="00D64309" w:rsidRDefault="00B24D97" w:rsidP="00413C9E">
      <w:pPr>
        <w:rPr>
          <w:rFonts w:cs="Arial"/>
        </w:rPr>
      </w:pPr>
      <w:r w:rsidRPr="00D64309">
        <w:rPr>
          <w:rFonts w:cs="Arial"/>
        </w:rPr>
        <w:t>Claims submitted under ECF can have up a maximum of 3 settlement currencies specified within a single UCR. ECF will support situations where either the same OSND applies to the different currencies, or separate OSNDs apply to the currencies, provided that these are submitted within the same UCR.</w:t>
      </w:r>
    </w:p>
    <w:p w:rsidR="002B61B1" w:rsidRDefault="00B24D97" w:rsidP="00413C9E">
      <w:pPr>
        <w:rPr>
          <w:rFonts w:cs="Arial"/>
        </w:rPr>
      </w:pPr>
      <w:r w:rsidRPr="00D64309">
        <w:rPr>
          <w:rFonts w:cs="Arial"/>
        </w:rPr>
        <w:t>Brokers should advise the expected settlement currency in the first advice as the SCM requires the settlement currency. If the currency selected by the XCS adjuster differs from the actual settlement currency, an</w:t>
      </w:r>
      <w:r w:rsidR="009B13FA">
        <w:rPr>
          <w:rFonts w:cs="Arial"/>
        </w:rPr>
        <w:t xml:space="preserve"> error is created in XCS CLASS. </w:t>
      </w:r>
    </w:p>
    <w:p w:rsidR="00B24D97" w:rsidRPr="002B61B1" w:rsidRDefault="00B24D97" w:rsidP="00413C9E">
      <w:pPr>
        <w:rPr>
          <w:rFonts w:cs="Arial"/>
        </w:rPr>
      </w:pPr>
      <w:r w:rsidRPr="002B61B1">
        <w:rPr>
          <w:rFonts w:cs="Arial"/>
        </w:rPr>
        <w:t>All subsequent transactions must contain that settlement currency even if the financial position of that currency is now Nil. E.g. If the settlement currency is initially advised in USD on the first transaction, but subsequently changes to say GBP on a later transaction, the later transactions must carry a nil position for the USD currency and the correct amount for the GBP currency.</w:t>
      </w:r>
      <w:r w:rsidR="008A577E">
        <w:rPr>
          <w:rFonts w:cs="Arial"/>
        </w:rPr>
        <w:t xml:space="preserve"> Once a currency is advised on a UCR the SCM generated will hold the currencies advised until closed. Closure of the claim will not close all currencies advised on the UCR, only the currencies updated with financials and qualifier codes will be part of processing which will in turn be part of the SCM generated for each MA.</w:t>
      </w:r>
    </w:p>
    <w:p w:rsidR="00B24D97" w:rsidRPr="00D64309" w:rsidRDefault="00B24D97" w:rsidP="00413C9E">
      <w:pPr>
        <w:rPr>
          <w:rFonts w:cs="Arial"/>
        </w:rPr>
      </w:pPr>
      <w:r w:rsidRPr="00D64309">
        <w:rPr>
          <w:rFonts w:cs="Arial"/>
        </w:rPr>
        <w:t xml:space="preserve">If the number of </w:t>
      </w:r>
      <w:r w:rsidRPr="00D64309">
        <w:rPr>
          <w:rFonts w:cs="Arial"/>
          <w:b/>
        </w:rPr>
        <w:t>active</w:t>
      </w:r>
      <w:r w:rsidRPr="00D64309">
        <w:rPr>
          <w:rFonts w:cs="Arial"/>
        </w:rPr>
        <w:t xml:space="preserve"> currencies to be advised is greater than 3, the ECF record should be cl</w:t>
      </w:r>
      <w:r w:rsidR="001037FB">
        <w:rPr>
          <w:rFonts w:cs="Arial"/>
        </w:rPr>
        <w:t>osed and the claim should r</w:t>
      </w:r>
      <w:r w:rsidRPr="00D64309">
        <w:rPr>
          <w:rFonts w:cs="Arial"/>
        </w:rPr>
        <w:t xml:space="preserve">evert to the </w:t>
      </w:r>
      <w:r w:rsidR="001037FB">
        <w:rPr>
          <w:rFonts w:cs="Arial"/>
        </w:rPr>
        <w:t>p</w:t>
      </w:r>
      <w:r w:rsidRPr="00D64309">
        <w:rPr>
          <w:rFonts w:cs="Arial"/>
        </w:rPr>
        <w:t xml:space="preserve">aper process </w:t>
      </w:r>
      <w:r w:rsidRPr="00070A3B">
        <w:rPr>
          <w:rFonts w:cs="Arial"/>
        </w:rPr>
        <w:t>detailed in section</w:t>
      </w:r>
      <w:r w:rsidR="00070A3B">
        <w:rPr>
          <w:rFonts w:cs="Arial"/>
        </w:rPr>
        <w:t xml:space="preserve"> </w:t>
      </w:r>
      <w:hyperlink w:anchor="_Reverting_to_Paper" w:history="1">
        <w:r w:rsidR="00070A3B" w:rsidRPr="00070A3B">
          <w:rPr>
            <w:rStyle w:val="Hyperlink"/>
          </w:rPr>
          <w:t>2.12</w:t>
        </w:r>
      </w:hyperlink>
      <w:r w:rsidRPr="00070A3B">
        <w:rPr>
          <w:rFonts w:cs="Arial"/>
        </w:rPr>
        <w:t>.</w:t>
      </w:r>
      <w:r w:rsidRPr="00D64309">
        <w:rPr>
          <w:rFonts w:cs="Arial"/>
        </w:rPr>
        <w:t xml:space="preserve"> However, if the maximum number of currencies on the UCR has been reached because the currencies have been replaced, it is acceptable to cancel and replace the UCR with a new UCR. i.e. if the number of active currencies is no greater than 3 (allowing for cancelled and replaced currencies) a replacement UCR can be established.</w:t>
      </w:r>
    </w:p>
    <w:p w:rsidR="00B24D97" w:rsidRPr="00D64309" w:rsidRDefault="00B24D97" w:rsidP="007A1FBB">
      <w:pPr>
        <w:rPr>
          <w:rFonts w:cs="Arial"/>
        </w:rPr>
      </w:pPr>
      <w:r w:rsidRPr="00D64309">
        <w:rPr>
          <w:rFonts w:cs="Arial"/>
        </w:rPr>
        <w:t xml:space="preserve">Additionally, although batch-loading allows for a broker to only supply one OSND for multiple currencies, brokers </w:t>
      </w:r>
      <w:r w:rsidRPr="00D64309">
        <w:rPr>
          <w:rFonts w:cs="Arial"/>
          <w:b/>
        </w:rPr>
        <w:t>must not</w:t>
      </w:r>
      <w:r w:rsidRPr="00D64309">
        <w:rPr>
          <w:rFonts w:cs="Arial"/>
        </w:rPr>
        <w:t xml:space="preserve"> do so (i.e. for every currency an OSND must be specified, even if it is the same OSND). This creates an error in XCS CLASS and the transaction cannot be processed further.</w:t>
      </w:r>
    </w:p>
    <w:p w:rsidR="00B24D97" w:rsidRPr="00D64309" w:rsidRDefault="00B24D97" w:rsidP="007A1FBB">
      <w:pPr>
        <w:rPr>
          <w:rFonts w:cs="Arial"/>
        </w:rPr>
      </w:pPr>
      <w:r w:rsidRPr="00D64309">
        <w:rPr>
          <w:rFonts w:cs="Arial"/>
          <w:b/>
        </w:rPr>
        <w:t>Note</w:t>
      </w:r>
      <w:r w:rsidRPr="00D64309">
        <w:rPr>
          <w:rFonts w:cs="Arial"/>
        </w:rPr>
        <w:t xml:space="preserve">: Validation rules exists to prevent brokers from entering two different amounts </w:t>
      </w:r>
      <w:r w:rsidRPr="00D64309">
        <w:rPr>
          <w:rFonts w:cs="Arial"/>
          <w:b/>
        </w:rPr>
        <w:t>interactively</w:t>
      </w:r>
      <w:r w:rsidRPr="00D64309">
        <w:rPr>
          <w:rFonts w:cs="Arial"/>
        </w:rPr>
        <w:t xml:space="preserve"> in the “Order Settlement” &amp; “Settle Cash” fields on the Signing Details screen of a CLASS@Lloyd’s transaction, however this validation does not exist for </w:t>
      </w:r>
      <w:r w:rsidRPr="00D64309">
        <w:rPr>
          <w:rFonts w:cs="Arial"/>
          <w:b/>
        </w:rPr>
        <w:t>batch loading</w:t>
      </w:r>
      <w:r w:rsidRPr="00D64309">
        <w:rPr>
          <w:rFonts w:cs="Arial"/>
        </w:rPr>
        <w:t xml:space="preserve"> by the broker. </w:t>
      </w:r>
      <w:r w:rsidRPr="00D64309">
        <w:rPr>
          <w:rFonts w:cs="Arial"/>
          <w:b/>
        </w:rPr>
        <w:t>Brokers should therefore ensure that these amounts are correct before loading transactions to CLASS@Lloyd’s via batch load</w:t>
      </w:r>
      <w:r w:rsidRPr="00D64309">
        <w:rPr>
          <w:rFonts w:cs="Arial"/>
        </w:rPr>
        <w:t>.</w:t>
      </w:r>
    </w:p>
    <w:p w:rsidR="00B24D97" w:rsidRPr="00EB5345" w:rsidRDefault="00B24D97" w:rsidP="00EB5345">
      <w:pPr>
        <w:pStyle w:val="Heading3"/>
      </w:pPr>
      <w:bookmarkStart w:id="53" w:name="_Toc389214788"/>
      <w:bookmarkStart w:id="54" w:name="_Toc396989124"/>
      <w:r w:rsidRPr="00EB5345">
        <w:t>Fee Bills</w:t>
      </w:r>
      <w:bookmarkEnd w:id="53"/>
      <w:bookmarkEnd w:id="54"/>
    </w:p>
    <w:p w:rsidR="00B24D97" w:rsidRPr="00D64309" w:rsidRDefault="00B24D97" w:rsidP="00D83B64">
      <w:pPr>
        <w:rPr>
          <w:rFonts w:cs="Arial"/>
        </w:rPr>
      </w:pPr>
      <w:r w:rsidRPr="00D64309">
        <w:rPr>
          <w:rFonts w:cs="Arial"/>
        </w:rPr>
        <w:t xml:space="preserve">It is </w:t>
      </w:r>
      <w:r w:rsidRPr="00D64309">
        <w:rPr>
          <w:rFonts w:cs="Arial"/>
          <w:b/>
        </w:rPr>
        <w:t>strongly</w:t>
      </w:r>
      <w:r w:rsidRPr="00D64309">
        <w:rPr>
          <w:rFonts w:cs="Arial"/>
        </w:rPr>
        <w:t xml:space="preserve"> </w:t>
      </w:r>
      <w:r w:rsidRPr="00D64309">
        <w:rPr>
          <w:rFonts w:cs="Arial"/>
          <w:b/>
        </w:rPr>
        <w:t>recommended</w:t>
      </w:r>
      <w:r w:rsidRPr="00D64309">
        <w:rPr>
          <w:rFonts w:cs="Arial"/>
        </w:rPr>
        <w:t xml:space="preserve"> that brokers submit Fee Bills as an individual transaction. This avoids the situation in which a Lead Agreement Party may wish to make two responses to the same transaction (which is not possible within ECF), for example in such cases where the Lead Agreement Party may wish to pay an expert’s bill but “Query/Return” a claim. Otherwise this will breach the rule that a settlement can only be processed with an “Agree Pay” response.</w:t>
      </w:r>
    </w:p>
    <w:p w:rsidR="00B24D97" w:rsidRDefault="00B24D97" w:rsidP="00D83B64">
      <w:pPr>
        <w:rPr>
          <w:rFonts w:cs="Arial"/>
        </w:rPr>
      </w:pPr>
      <w:r w:rsidRPr="00D64309">
        <w:rPr>
          <w:rFonts w:cs="Arial"/>
        </w:rPr>
        <w:t>However, in situations where fee bills are not submitted under separate transactions, the Lead Agreement Party may “Query/Return” the transaction and the broker must therefore endeavour to resolve the queries as soon as possible. This may involve the broker withdrawing the original transaction and splitting it into two.</w:t>
      </w:r>
    </w:p>
    <w:p w:rsidR="009B13FA" w:rsidRDefault="009B13FA" w:rsidP="00D83B64">
      <w:pPr>
        <w:rPr>
          <w:rFonts w:cs="Arial"/>
        </w:rPr>
      </w:pPr>
      <w:r w:rsidRPr="006D09DB">
        <w:rPr>
          <w:rFonts w:cs="Arial"/>
        </w:rPr>
        <w:t>Many fee bills are now processed by a third party o</w:t>
      </w:r>
      <w:r w:rsidR="00E6489F" w:rsidRPr="006D09DB">
        <w:rPr>
          <w:rFonts w:cs="Arial"/>
        </w:rPr>
        <w:t>r</w:t>
      </w:r>
      <w:r w:rsidRPr="006D09DB">
        <w:rPr>
          <w:rFonts w:cs="Arial"/>
        </w:rPr>
        <w:t xml:space="preserve"> fee collection agent on a parallel UCR. Please refer to section</w:t>
      </w:r>
      <w:r w:rsidR="006D09DB">
        <w:rPr>
          <w:rFonts w:cs="Arial"/>
        </w:rPr>
        <w:t xml:space="preserve"> </w:t>
      </w:r>
    </w:p>
    <w:p w:rsidR="00D15101" w:rsidRDefault="00D15101" w:rsidP="00D83B64">
      <w:pPr>
        <w:rPr>
          <w:rFonts w:cs="Arial"/>
        </w:rPr>
      </w:pPr>
    </w:p>
    <w:p w:rsidR="00D15101" w:rsidRDefault="00D15101" w:rsidP="00D83B64">
      <w:pPr>
        <w:rPr>
          <w:rFonts w:cs="Arial"/>
        </w:rPr>
      </w:pPr>
    </w:p>
    <w:p w:rsidR="00B24D97" w:rsidRPr="00D64309" w:rsidRDefault="00B24D97" w:rsidP="005D6535">
      <w:pPr>
        <w:pStyle w:val="Heading3"/>
      </w:pPr>
      <w:bookmarkStart w:id="55" w:name="_Toc389214789"/>
      <w:bookmarkStart w:id="56" w:name="_Toc396989125"/>
      <w:r w:rsidRPr="00D64309">
        <w:lastRenderedPageBreak/>
        <w:t>Slip Orders</w:t>
      </w:r>
      <w:bookmarkEnd w:id="55"/>
      <w:bookmarkEnd w:id="56"/>
    </w:p>
    <w:p w:rsidR="00B24D97" w:rsidRPr="00D64309" w:rsidRDefault="00B24D97" w:rsidP="00FF5E13">
      <w:pPr>
        <w:rPr>
          <w:rFonts w:cs="Arial"/>
        </w:rPr>
      </w:pPr>
      <w:r w:rsidRPr="00D64309">
        <w:rPr>
          <w:rFonts w:cs="Arial"/>
        </w:rPr>
        <w:t>With the advent of Phase 6a and the flexibility that it affords XCS, the general principle remains that broker supplied data will flow through the claims process to the subscribing Lloyd’s syndicates via the SCM. The flexibility gives XCS the ability to advise the subscribing Lloyd’s syndicates of the accurate position of a claim via the SCM, pending any correcting action by brokers.</w:t>
      </w:r>
    </w:p>
    <w:p w:rsidR="00B24D97" w:rsidRPr="00D64309" w:rsidRDefault="00B24D97" w:rsidP="00FF5E13">
      <w:pPr>
        <w:rPr>
          <w:rFonts w:cs="Arial"/>
        </w:rPr>
      </w:pPr>
      <w:r w:rsidRPr="00D64309">
        <w:rPr>
          <w:rFonts w:cs="Arial"/>
        </w:rPr>
        <w:t>However purely in respect of Slip Orders; where the broker uses a percentage in the Order field corresponding to the market signed line, Agreement Parties are asked not to Query/Return these transactions nor request any correcting action for that reason. XCS will ensure that the appropriate order percentage is supplied in the SCM. This could result in the ECF percentage differing to that provided in the SCM; however the monetary amount will not differ.</w:t>
      </w:r>
    </w:p>
    <w:p w:rsidR="00B24D97" w:rsidRDefault="00B24D97" w:rsidP="00FF5E13">
      <w:pPr>
        <w:rPr>
          <w:rFonts w:cs="Arial"/>
        </w:rPr>
      </w:pPr>
      <w:r w:rsidRPr="00D64309">
        <w:rPr>
          <w:rFonts w:cs="Arial"/>
        </w:rPr>
        <w:t>Brokers should be aware that transactions may be query/returned if the CLASS transaction and documents in the IMR do not include enough information for any Agreement Party (including XCS) to determine the appropriate order percentage. A consistent market solution would be available through the adoption of ACORD standard messages.</w:t>
      </w:r>
    </w:p>
    <w:p w:rsidR="00680814" w:rsidRPr="006A39A9" w:rsidRDefault="00680814" w:rsidP="006A39A9">
      <w:pPr>
        <w:pStyle w:val="Heading3"/>
      </w:pPr>
      <w:bookmarkStart w:id="57" w:name="_Claims_on_Unsigned"/>
      <w:bookmarkStart w:id="58" w:name="_Toc389214790"/>
      <w:bookmarkStart w:id="59" w:name="_Toc396989126"/>
      <w:bookmarkEnd w:id="57"/>
      <w:r w:rsidRPr="006A39A9">
        <w:t>Claims on Unsigned Risks</w:t>
      </w:r>
      <w:bookmarkEnd w:id="58"/>
      <w:bookmarkEnd w:id="59"/>
      <w:r w:rsidRPr="006A39A9">
        <w:t xml:space="preserve"> </w:t>
      </w:r>
    </w:p>
    <w:p w:rsidR="00680814" w:rsidRPr="00680814" w:rsidRDefault="00680814" w:rsidP="00680814">
      <w:pPr>
        <w:rPr>
          <w:rFonts w:cs="Arial"/>
        </w:rPr>
      </w:pPr>
      <w:r w:rsidRPr="00680814">
        <w:rPr>
          <w:rFonts w:cs="Arial"/>
        </w:rPr>
        <w:t>In circumstances where a claim is advised to a broker on an unsigned risk the following process could be followed to allow the claim to be handled via ECF:</w:t>
      </w:r>
    </w:p>
    <w:p w:rsidR="00680814" w:rsidRPr="00680814" w:rsidRDefault="00680814" w:rsidP="00680814">
      <w:pPr>
        <w:rPr>
          <w:rFonts w:cs="Arial"/>
        </w:rPr>
      </w:pPr>
      <w:r w:rsidRPr="00680814">
        <w:rPr>
          <w:rFonts w:cs="Arial"/>
        </w:rPr>
        <w:t xml:space="preserve">Firstly the broker should sign the risk as an urgent submission using, if necessary the delinking process which allows the signing of the risk without simultaneous payment of the premium. Please refer to the following document: </w:t>
      </w:r>
      <w:hyperlink r:id="rId13" w:history="1">
        <w:r w:rsidRPr="00485EE1">
          <w:rPr>
            <w:rStyle w:val="Hyperlink"/>
            <w:rFonts w:cs="Arial"/>
          </w:rPr>
          <w:t>Delinking User Guide</w:t>
        </w:r>
      </w:hyperlink>
      <w:r w:rsidRPr="00485EE1">
        <w:rPr>
          <w:rFonts w:cs="Arial"/>
        </w:rPr>
        <w:t xml:space="preserve"> </w:t>
      </w:r>
      <w:r w:rsidRPr="000B0350">
        <w:rPr>
          <w:rFonts w:cs="Arial"/>
        </w:rPr>
        <w:t>for</w:t>
      </w:r>
      <w:r w:rsidRPr="00680814">
        <w:rPr>
          <w:rFonts w:cs="Arial"/>
        </w:rPr>
        <w:t xml:space="preserve"> further details of this process. Once the risk is signed the broker can then present the claim via ECF in the normal course.  In the event instructions are required to deal with the claim while the signing process is pending, the broker should use other means (phone, e-mail fax etc.) to obtain authority from the claims agreement parties (including XCS) in order to take action on the claim.  Once the risk is signed, and the claim is submitted via ECF, all documents that evidence notification of the claim and agreed actions should be loaded to the repository along with the first advice.</w:t>
      </w:r>
    </w:p>
    <w:p w:rsidR="00680814" w:rsidRPr="00D64309" w:rsidRDefault="00680814" w:rsidP="00680814">
      <w:pPr>
        <w:rPr>
          <w:rFonts w:cs="Arial"/>
        </w:rPr>
      </w:pPr>
      <w:r w:rsidRPr="00680814">
        <w:rPr>
          <w:rFonts w:cs="Arial"/>
        </w:rPr>
        <w:t>In circumstances where it has been necessary for XCS to issue an SCM on the claim in advance of the broker receiving the signing information an ECF submission will not be possible and the claim will need to be treated as a legacy claim.</w:t>
      </w:r>
      <w:r w:rsidRPr="00D64309">
        <w:rPr>
          <w:rFonts w:cs="Arial"/>
        </w:rPr>
        <w:t xml:space="preserve"> </w:t>
      </w:r>
    </w:p>
    <w:p w:rsidR="00B24D97" w:rsidRPr="00D64309" w:rsidRDefault="00B24D97" w:rsidP="00D435A6">
      <w:pPr>
        <w:pStyle w:val="Heading3"/>
      </w:pPr>
      <w:bookmarkStart w:id="60" w:name="_Toc389214791"/>
      <w:bookmarkStart w:id="61" w:name="_Toc396989127"/>
      <w:r w:rsidRPr="00D64309">
        <w:t>Notification of Claims</w:t>
      </w:r>
      <w:bookmarkEnd w:id="60"/>
      <w:bookmarkEnd w:id="61"/>
    </w:p>
    <w:p w:rsidR="00B24D97" w:rsidRPr="00D64309" w:rsidRDefault="00B24D97" w:rsidP="008208AA">
      <w:pPr>
        <w:rPr>
          <w:rFonts w:cs="Arial"/>
        </w:rPr>
      </w:pPr>
      <w:r w:rsidRPr="00D64309">
        <w:rPr>
          <w:rFonts w:cs="Arial"/>
        </w:rPr>
        <w:t>For the Lead Agreement Party to be in a position to respond to a claim, the Lead Agreement Party will require that the complete claims package is received. Specifically this means that:</w:t>
      </w:r>
    </w:p>
    <w:p w:rsidR="00B24D97" w:rsidRPr="00D64309" w:rsidRDefault="00B24D97" w:rsidP="008208AA">
      <w:pPr>
        <w:pStyle w:val="Bullets"/>
        <w:rPr>
          <w:rFonts w:cs="Arial"/>
        </w:rPr>
      </w:pPr>
      <w:r w:rsidRPr="00D64309">
        <w:rPr>
          <w:rFonts w:cs="Arial"/>
        </w:rPr>
        <w:t>The data has been received and validated by CLASS to generate an entry in the CLASS Awaiting Action List</w:t>
      </w:r>
      <w:r w:rsidR="009B13FA">
        <w:rPr>
          <w:rFonts w:cs="Arial"/>
        </w:rPr>
        <w:t xml:space="preserve"> which in turn triggers an event within CWT and CWS.</w:t>
      </w:r>
    </w:p>
    <w:p w:rsidR="00680814" w:rsidRDefault="00B24D97" w:rsidP="00680814">
      <w:pPr>
        <w:pStyle w:val="Bullets"/>
        <w:spacing w:after="120"/>
        <w:rPr>
          <w:rFonts w:cs="Arial"/>
        </w:rPr>
      </w:pPr>
      <w:r w:rsidRPr="00D64309">
        <w:rPr>
          <w:rFonts w:cs="Arial"/>
        </w:rPr>
        <w:t xml:space="preserve">All appropriate and relevant documentation is loaded to the IMR and linked </w:t>
      </w:r>
      <w:r w:rsidR="009B13FA">
        <w:rPr>
          <w:rFonts w:cs="Arial"/>
        </w:rPr>
        <w:t>to the corresponding CLASS TR</w:t>
      </w:r>
      <w:r w:rsidRPr="00D64309">
        <w:rPr>
          <w:rFonts w:cs="Arial"/>
        </w:rPr>
        <w:t xml:space="preserve"> (this may include the response and comments made by the IUA lead if appropriate)</w:t>
      </w:r>
      <w:bookmarkStart w:id="62" w:name="_Toc214261811"/>
      <w:bookmarkStart w:id="63" w:name="_Toc214261812"/>
      <w:bookmarkStart w:id="64" w:name="DocManage"/>
      <w:bookmarkStart w:id="65" w:name="_Toc112226818"/>
      <w:bookmarkStart w:id="66" w:name="_Toc134427282"/>
      <w:bookmarkStart w:id="67" w:name="_Toc142277041"/>
      <w:bookmarkEnd w:id="62"/>
      <w:bookmarkEnd w:id="63"/>
      <w:bookmarkEnd w:id="64"/>
    </w:p>
    <w:p w:rsidR="00B24D97" w:rsidRPr="009B13FA" w:rsidRDefault="00B24D97" w:rsidP="008208AA">
      <w:pPr>
        <w:pStyle w:val="Heading3"/>
        <w:rPr>
          <w:rFonts w:cs="Arial"/>
        </w:rPr>
      </w:pPr>
      <w:bookmarkStart w:id="68" w:name="_Toc389214792"/>
      <w:bookmarkStart w:id="69" w:name="_Toc396989128"/>
      <w:r w:rsidRPr="009B13FA">
        <w:rPr>
          <w:rFonts w:cs="Arial"/>
        </w:rPr>
        <w:t>Document Management by the Broker</w:t>
      </w:r>
      <w:bookmarkEnd w:id="65"/>
      <w:bookmarkEnd w:id="66"/>
      <w:bookmarkEnd w:id="67"/>
      <w:bookmarkEnd w:id="68"/>
      <w:bookmarkEnd w:id="69"/>
    </w:p>
    <w:p w:rsidR="00B24D97" w:rsidRPr="00EB5345" w:rsidRDefault="00B24D97" w:rsidP="00EB5345">
      <w:pPr>
        <w:pStyle w:val="Heading4"/>
      </w:pPr>
      <w:bookmarkStart w:id="70" w:name="_Toc112226819"/>
      <w:bookmarkStart w:id="71" w:name="_Toc389214793"/>
      <w:r w:rsidRPr="00EB5345">
        <w:t>Document Lodging</w:t>
      </w:r>
      <w:bookmarkEnd w:id="70"/>
      <w:bookmarkEnd w:id="71"/>
      <w:r w:rsidRPr="00EB5345">
        <w:t xml:space="preserve"> </w:t>
      </w:r>
    </w:p>
    <w:p w:rsidR="00B24D97" w:rsidRPr="00D64309" w:rsidRDefault="00B24D97" w:rsidP="008208AA">
      <w:pPr>
        <w:rPr>
          <w:rFonts w:cs="Arial"/>
        </w:rPr>
      </w:pPr>
      <w:r w:rsidRPr="00D64309">
        <w:rPr>
          <w:rFonts w:cs="Arial"/>
        </w:rPr>
        <w:t xml:space="preserve">In order for a claims adjuster to be able to review a claim, there is certain placing information that is mandatory. This is to include a full copy of the signed placing slip and/or any schedules as appropriate (inclusive of any special terms and conditions), subsequent endorsements, policies, wordings and all certificates of insurance where applicable.  </w:t>
      </w:r>
    </w:p>
    <w:p w:rsidR="00B24D97" w:rsidRPr="00D64309" w:rsidRDefault="00B24D97" w:rsidP="008208AA">
      <w:pPr>
        <w:rPr>
          <w:rFonts w:cs="Arial"/>
        </w:rPr>
      </w:pPr>
      <w:r w:rsidRPr="00D64309">
        <w:rPr>
          <w:rFonts w:cs="Arial"/>
        </w:rPr>
        <w:t>This list is not definitive but is illustrative of the key placing information that would be required and should have been lodged in the relevant UMR section of the electronic file.</w:t>
      </w:r>
    </w:p>
    <w:p w:rsidR="00B24D97" w:rsidRPr="00D64309" w:rsidRDefault="00B24D97" w:rsidP="008208AA">
      <w:pPr>
        <w:rPr>
          <w:rFonts w:cs="Arial"/>
        </w:rPr>
      </w:pPr>
      <w:r w:rsidRPr="00D64309">
        <w:rPr>
          <w:rFonts w:cs="Arial"/>
        </w:rPr>
        <w:t xml:space="preserve">Where multiple risks are declared under one UMR, the certificate or declaration </w:t>
      </w:r>
      <w:r w:rsidRPr="00D64309">
        <w:rPr>
          <w:rFonts w:cs="Arial"/>
          <w:b/>
        </w:rPr>
        <w:t>must</w:t>
      </w:r>
      <w:r w:rsidRPr="00D64309">
        <w:rPr>
          <w:rFonts w:cs="Arial"/>
        </w:rPr>
        <w:t xml:space="preserve"> be loaded to the UCR folder.</w:t>
      </w:r>
    </w:p>
    <w:p w:rsidR="00B24D97" w:rsidRPr="00AC02FD" w:rsidRDefault="00B24D97" w:rsidP="008208AA">
      <w:pPr>
        <w:pStyle w:val="Bullets"/>
        <w:spacing w:after="120"/>
        <w:rPr>
          <w:rFonts w:cs="Arial"/>
        </w:rPr>
      </w:pPr>
      <w:r w:rsidRPr="00AC02FD">
        <w:rPr>
          <w:rFonts w:cs="Arial"/>
          <w:b/>
        </w:rPr>
        <w:lastRenderedPageBreak/>
        <w:t xml:space="preserve">When loading documents interactively </w:t>
      </w:r>
      <w:r w:rsidRPr="00AC02FD">
        <w:rPr>
          <w:rFonts w:cs="Arial"/>
        </w:rPr>
        <w:t xml:space="preserve">brokers </w:t>
      </w:r>
      <w:r w:rsidRPr="00AC02FD">
        <w:rPr>
          <w:rFonts w:cs="Arial"/>
          <w:b/>
        </w:rPr>
        <w:t>must</w:t>
      </w:r>
      <w:r w:rsidRPr="00AC02FD">
        <w:rPr>
          <w:rFonts w:cs="Arial"/>
        </w:rPr>
        <w:t xml:space="preserve"> </w:t>
      </w:r>
      <w:r w:rsidR="002267BA" w:rsidRPr="00AC02FD">
        <w:rPr>
          <w:rFonts w:cs="Arial"/>
        </w:rPr>
        <w:t>associate</w:t>
      </w:r>
      <w:r w:rsidR="000C64F8" w:rsidRPr="00AC02FD">
        <w:rPr>
          <w:rFonts w:cs="Arial"/>
        </w:rPr>
        <w:t xml:space="preserve"> documents</w:t>
      </w:r>
      <w:r w:rsidR="002267BA" w:rsidRPr="00AC02FD">
        <w:rPr>
          <w:rFonts w:cs="Arial"/>
        </w:rPr>
        <w:t xml:space="preserve"> to </w:t>
      </w:r>
      <w:r w:rsidRPr="00AC02FD">
        <w:rPr>
          <w:rFonts w:cs="Arial"/>
        </w:rPr>
        <w:t>a Transaction Reference (TR).</w:t>
      </w:r>
      <w:r w:rsidRPr="00AC02FD">
        <w:rPr>
          <w:rFonts w:cs="Arial"/>
          <w:b/>
        </w:rPr>
        <w:t xml:space="preserve"> </w:t>
      </w:r>
      <w:r w:rsidRPr="00AC02FD">
        <w:rPr>
          <w:rFonts w:cs="Arial"/>
        </w:rPr>
        <w:t xml:space="preserve">To achieve this, brokers </w:t>
      </w:r>
      <w:r w:rsidRPr="00AC02FD">
        <w:rPr>
          <w:rFonts w:cs="Arial"/>
          <w:b/>
        </w:rPr>
        <w:t>must</w:t>
      </w:r>
      <w:r w:rsidRPr="00AC02FD">
        <w:rPr>
          <w:rFonts w:cs="Arial"/>
        </w:rPr>
        <w:t xml:space="preserve"> ensure that the CLASS message is sent </w:t>
      </w:r>
      <w:r w:rsidRPr="00AC02FD">
        <w:rPr>
          <w:rFonts w:cs="Arial"/>
          <w:b/>
        </w:rPr>
        <w:t xml:space="preserve">first. </w:t>
      </w:r>
      <w:r w:rsidRPr="00AC02FD">
        <w:rPr>
          <w:rFonts w:cs="Arial"/>
        </w:rPr>
        <w:t xml:space="preserve">If the broker loads the documents first, they will not be able to </w:t>
      </w:r>
      <w:r w:rsidR="002267BA" w:rsidRPr="00AC02FD">
        <w:rPr>
          <w:rFonts w:cs="Arial"/>
        </w:rPr>
        <w:t xml:space="preserve">associate to </w:t>
      </w:r>
      <w:r w:rsidRPr="00AC02FD">
        <w:rPr>
          <w:rFonts w:cs="Arial"/>
        </w:rPr>
        <w:t>the TR until the CLASS message</w:t>
      </w:r>
      <w:r w:rsidR="002267BA" w:rsidRPr="00AC02FD">
        <w:rPr>
          <w:rFonts w:cs="Arial"/>
        </w:rPr>
        <w:t xml:space="preserve"> is sent and available within the IMR</w:t>
      </w:r>
      <w:r w:rsidRPr="00AC02FD">
        <w:rPr>
          <w:rFonts w:cs="Arial"/>
        </w:rPr>
        <w:t>.</w:t>
      </w:r>
    </w:p>
    <w:p w:rsidR="00B24D97" w:rsidRPr="00AC02FD" w:rsidRDefault="00B24D97" w:rsidP="008208AA">
      <w:pPr>
        <w:pStyle w:val="Bullets"/>
        <w:spacing w:after="120"/>
        <w:rPr>
          <w:rFonts w:cs="Arial"/>
        </w:rPr>
      </w:pPr>
      <w:r w:rsidRPr="00AC02FD">
        <w:rPr>
          <w:rFonts w:cs="Arial"/>
          <w:b/>
        </w:rPr>
        <w:t xml:space="preserve">When loading documents via DRI </w:t>
      </w:r>
      <w:r w:rsidRPr="00AC02FD">
        <w:rPr>
          <w:rFonts w:cs="Arial"/>
        </w:rPr>
        <w:t xml:space="preserve">brokers </w:t>
      </w:r>
      <w:r w:rsidRPr="00AC02FD">
        <w:rPr>
          <w:rFonts w:cs="Arial"/>
          <w:b/>
        </w:rPr>
        <w:t xml:space="preserve">must </w:t>
      </w:r>
      <w:r w:rsidRPr="00AC02FD">
        <w:rPr>
          <w:rFonts w:cs="Arial"/>
        </w:rPr>
        <w:t>ensure that all of the documents associated with a particular transaction are loaded</w:t>
      </w:r>
      <w:r w:rsidR="002267BA" w:rsidRPr="00AC02FD">
        <w:rPr>
          <w:rFonts w:cs="Arial"/>
        </w:rPr>
        <w:t xml:space="preserve"> simultaneously</w:t>
      </w:r>
      <w:r w:rsidRPr="00AC02FD">
        <w:rPr>
          <w:rFonts w:cs="Arial"/>
        </w:rPr>
        <w:t xml:space="preserve">. Brokers </w:t>
      </w:r>
      <w:r w:rsidRPr="00AC02FD">
        <w:rPr>
          <w:rFonts w:cs="Arial"/>
          <w:b/>
        </w:rPr>
        <w:t>must</w:t>
      </w:r>
      <w:r w:rsidRPr="00AC02FD">
        <w:rPr>
          <w:rFonts w:cs="Arial"/>
        </w:rPr>
        <w:t xml:space="preserve"> also ensure that the CLASS message and any associated documents are submitted together as one transaction </w:t>
      </w:r>
      <w:r w:rsidR="00CE4C2E" w:rsidRPr="00AC02FD">
        <w:rPr>
          <w:rFonts w:cs="Arial"/>
        </w:rPr>
        <w:t>(</w:t>
      </w:r>
      <w:r w:rsidRPr="00AC02FD">
        <w:rPr>
          <w:rFonts w:cs="Arial"/>
        </w:rPr>
        <w:t>TR</w:t>
      </w:r>
      <w:r w:rsidR="00CE4C2E" w:rsidRPr="00AC02FD">
        <w:rPr>
          <w:rFonts w:cs="Arial"/>
        </w:rPr>
        <w:t>)</w:t>
      </w:r>
      <w:r w:rsidRPr="00AC02FD">
        <w:rPr>
          <w:rFonts w:cs="Arial"/>
        </w:rPr>
        <w:t>.</w:t>
      </w:r>
      <w:r w:rsidR="00CE4C2E" w:rsidRPr="00AC02FD">
        <w:rPr>
          <w:rFonts w:cs="Arial"/>
        </w:rPr>
        <w:t xml:space="preserve"> </w:t>
      </w:r>
    </w:p>
    <w:p w:rsidR="003C5C10" w:rsidRDefault="00B24D97" w:rsidP="003C5C10">
      <w:pPr>
        <w:pStyle w:val="Bullets"/>
        <w:numPr>
          <w:ilvl w:val="0"/>
          <w:numId w:val="0"/>
        </w:numPr>
        <w:spacing w:after="120"/>
        <w:ind w:left="397"/>
        <w:rPr>
          <w:rFonts w:cs="Arial"/>
        </w:rPr>
      </w:pPr>
      <w:r w:rsidRPr="00D64309">
        <w:rPr>
          <w:rFonts w:cs="Arial"/>
        </w:rPr>
        <w:t xml:space="preserve">Brokers sending documents via DRI may send messages with the following references UMR/TR, UMR/UCR, UMR/UCR/TR. Premium related documents can therefore be loaded at UMR level and have a Transaction Reference </w:t>
      </w:r>
      <w:r w:rsidR="00CE4C2E">
        <w:rPr>
          <w:rFonts w:cs="Arial"/>
        </w:rPr>
        <w:t xml:space="preserve">(TR) </w:t>
      </w:r>
      <w:r w:rsidRPr="00D64309">
        <w:rPr>
          <w:rFonts w:cs="Arial"/>
        </w:rPr>
        <w:t xml:space="preserve">link. Claims items that link to a CLASS@Lloyd's message </w:t>
      </w:r>
      <w:r w:rsidRPr="00D64309">
        <w:rPr>
          <w:rFonts w:cs="Arial"/>
          <w:b/>
        </w:rPr>
        <w:t>must</w:t>
      </w:r>
      <w:r w:rsidRPr="00D64309">
        <w:rPr>
          <w:rFonts w:cs="Arial"/>
        </w:rPr>
        <w:t xml:space="preserve"> have UMR/UCR and a Transaction Reference (TR) as well.</w:t>
      </w:r>
    </w:p>
    <w:p w:rsidR="003C5C10" w:rsidRPr="003C5C10" w:rsidRDefault="003C5C10" w:rsidP="003C5C10">
      <w:pPr>
        <w:pStyle w:val="ListParagraph"/>
        <w:numPr>
          <w:ilvl w:val="0"/>
          <w:numId w:val="88"/>
        </w:numPr>
        <w:spacing w:after="120"/>
        <w:rPr>
          <w:rFonts w:ascii="Arial" w:hAnsi="Arial" w:cs="Arial"/>
          <w:sz w:val="20"/>
          <w:szCs w:val="20"/>
        </w:rPr>
      </w:pPr>
      <w:r w:rsidRPr="003C5C10">
        <w:rPr>
          <w:rFonts w:ascii="Arial" w:hAnsi="Arial" w:cs="Arial"/>
          <w:sz w:val="20"/>
          <w:szCs w:val="20"/>
        </w:rPr>
        <w:t xml:space="preserve">When loading documents via the broker portal and document management service (DMS) please ensure that your UCR / TR within CLASS has been raised without exception to any data fields and that your documents are associated to the TR raised.  </w:t>
      </w:r>
    </w:p>
    <w:p w:rsidR="00B24D97" w:rsidRPr="00F87704" w:rsidRDefault="00B24D97" w:rsidP="00F87704">
      <w:pPr>
        <w:pStyle w:val="Bullets"/>
        <w:spacing w:after="120"/>
        <w:rPr>
          <w:rFonts w:cs="Arial"/>
        </w:rPr>
      </w:pPr>
      <w:r w:rsidRPr="00F87704">
        <w:rPr>
          <w:rFonts w:cs="Arial"/>
        </w:rPr>
        <w:t xml:space="preserve">In either case, brokers </w:t>
      </w:r>
      <w:r w:rsidRPr="00F87704">
        <w:rPr>
          <w:rFonts w:cs="Arial"/>
          <w:b/>
        </w:rPr>
        <w:t>must</w:t>
      </w:r>
      <w:r w:rsidRPr="00F87704">
        <w:rPr>
          <w:rFonts w:cs="Arial"/>
        </w:rPr>
        <w:t xml:space="preserve"> not load documents and assign them to a TR on which the Lead Agreement Party has already added a response. All documents loaded after a Lead Agreement Party has added a response </w:t>
      </w:r>
      <w:r w:rsidRPr="00F87704">
        <w:rPr>
          <w:rFonts w:cs="Arial"/>
          <w:b/>
        </w:rPr>
        <w:t>must</w:t>
      </w:r>
      <w:r w:rsidRPr="00F87704">
        <w:rPr>
          <w:rFonts w:cs="Arial"/>
        </w:rPr>
        <w:t xml:space="preserve"> be assigned to a new or replacement TR unless responding to a “Query/Return” response made by the Lead Agreement Party (see</w:t>
      </w:r>
      <w:r w:rsidR="00070A3B">
        <w:rPr>
          <w:rFonts w:cs="Arial"/>
        </w:rPr>
        <w:t xml:space="preserve"> </w:t>
      </w:r>
      <w:hyperlink w:anchor="_Claims_Process_Involving" w:history="1">
        <w:r w:rsidR="00070A3B" w:rsidRPr="00070A3B">
          <w:rPr>
            <w:rStyle w:val="Hyperlink"/>
            <w:rFonts w:cs="Arial"/>
          </w:rPr>
          <w:t>2.6</w:t>
        </w:r>
      </w:hyperlink>
      <w:r w:rsidR="00F87704" w:rsidRPr="00F87704">
        <w:rPr>
          <w:rFonts w:cs="Arial"/>
        </w:rPr>
        <w:t>)</w:t>
      </w:r>
      <w:r w:rsidRPr="00F87704">
        <w:rPr>
          <w:rFonts w:cs="Arial"/>
        </w:rPr>
        <w:t>.</w:t>
      </w:r>
    </w:p>
    <w:p w:rsidR="00B24D97" w:rsidRPr="00F87704" w:rsidRDefault="00B24D97" w:rsidP="00F87704">
      <w:pPr>
        <w:pStyle w:val="Bullets"/>
        <w:spacing w:after="120"/>
        <w:rPr>
          <w:rFonts w:cs="Arial"/>
        </w:rPr>
      </w:pPr>
      <w:r w:rsidRPr="00D64309">
        <w:rPr>
          <w:rFonts w:cs="Arial"/>
        </w:rPr>
        <w:t xml:space="preserve">Where possible, documents loaded to the IMR should follow the document naming conventions detailed in </w:t>
      </w:r>
      <w:r w:rsidRPr="00F87704">
        <w:rPr>
          <w:rFonts w:cs="Arial"/>
        </w:rPr>
        <w:t>sectio</w:t>
      </w:r>
      <w:r w:rsidR="00070A3B">
        <w:rPr>
          <w:rFonts w:cs="Arial"/>
        </w:rPr>
        <w:t xml:space="preserve">n </w:t>
      </w:r>
      <w:hyperlink w:anchor="_Document_Guidelines" w:history="1">
        <w:r w:rsidR="00070A3B" w:rsidRPr="00070A3B">
          <w:rPr>
            <w:rStyle w:val="Hyperlink"/>
            <w:rFonts w:cs="Arial"/>
          </w:rPr>
          <w:t>2.3</w:t>
        </w:r>
        <w:r w:rsidR="00F87704" w:rsidRPr="00070A3B">
          <w:rPr>
            <w:rStyle w:val="Hyperlink"/>
            <w:rFonts w:cs="Arial"/>
          </w:rPr>
          <w:t>.11</w:t>
        </w:r>
      </w:hyperlink>
      <w:r w:rsidRPr="00F87704">
        <w:rPr>
          <w:rFonts w:cs="Arial"/>
        </w:rPr>
        <w:t>.</w:t>
      </w:r>
    </w:p>
    <w:p w:rsidR="00171B80" w:rsidRPr="00D64309" w:rsidRDefault="00171B80" w:rsidP="009A1D3A">
      <w:pPr>
        <w:pStyle w:val="Heading4"/>
      </w:pPr>
      <w:bookmarkStart w:id="72" w:name="_Toc389214794"/>
      <w:r w:rsidRPr="00D64309">
        <w:t>Document Rules</w:t>
      </w:r>
      <w:bookmarkEnd w:id="72"/>
    </w:p>
    <w:p w:rsidR="00171B80" w:rsidRPr="00AE12D8" w:rsidRDefault="00171B80" w:rsidP="00AE12D8">
      <w:bookmarkStart w:id="73" w:name="_Toc389214795"/>
      <w:r w:rsidRPr="00AE12D8">
        <w:t>Brokers should load documents to the IMR in the same way that they were or</w:t>
      </w:r>
      <w:r w:rsidR="003C5C10" w:rsidRPr="00AE12D8">
        <w:t xml:space="preserve">iginally received by the broker and the file should electronically represent the paper file. </w:t>
      </w:r>
      <w:r w:rsidRPr="00AE12D8">
        <w:t>For guidance, practical examples of this may include:</w:t>
      </w:r>
      <w:bookmarkEnd w:id="73"/>
    </w:p>
    <w:p w:rsidR="00171B80" w:rsidRPr="00D64309" w:rsidRDefault="00171B80" w:rsidP="00171B80">
      <w:pPr>
        <w:pStyle w:val="Bullets"/>
        <w:spacing w:after="120"/>
        <w:rPr>
          <w:rFonts w:cs="Arial"/>
        </w:rPr>
      </w:pPr>
      <w:r w:rsidRPr="00D64309">
        <w:rPr>
          <w:rFonts w:cs="Arial"/>
        </w:rPr>
        <w:t xml:space="preserve">Individual reports/documents received by the broker </w:t>
      </w:r>
      <w:r w:rsidRPr="00D64309">
        <w:rPr>
          <w:rFonts w:cs="Arial"/>
          <w:u w:val="single"/>
        </w:rPr>
        <w:t>without</w:t>
      </w:r>
      <w:r w:rsidRPr="00D64309">
        <w:rPr>
          <w:rFonts w:cs="Arial"/>
        </w:rPr>
        <w:t xml:space="preserve"> a covering letter should be scanned and loaded to the IMR individually. The </w:t>
      </w:r>
      <w:r w:rsidRPr="00D64309">
        <w:rPr>
          <w:rFonts w:cs="Arial"/>
          <w:b/>
        </w:rPr>
        <w:t>originating date</w:t>
      </w:r>
      <w:r w:rsidRPr="00D64309">
        <w:rPr>
          <w:rFonts w:cs="Arial"/>
        </w:rPr>
        <w:t xml:space="preserve"> (see above) will be the date appearing on the face of that document. </w:t>
      </w:r>
    </w:p>
    <w:p w:rsidR="00171B80" w:rsidRPr="00D64309" w:rsidRDefault="00171B80" w:rsidP="00171B80">
      <w:pPr>
        <w:pStyle w:val="Bullets"/>
        <w:spacing w:after="120"/>
        <w:rPr>
          <w:rFonts w:cs="Arial"/>
        </w:rPr>
      </w:pPr>
      <w:r w:rsidRPr="00D64309">
        <w:rPr>
          <w:rFonts w:cs="Arial"/>
        </w:rPr>
        <w:t xml:space="preserve">Individual reports/documents received by the broker </w:t>
      </w:r>
      <w:r w:rsidRPr="00D64309">
        <w:rPr>
          <w:rFonts w:cs="Arial"/>
          <w:u w:val="single"/>
        </w:rPr>
        <w:t>with</w:t>
      </w:r>
      <w:r w:rsidRPr="00D64309">
        <w:rPr>
          <w:rFonts w:cs="Arial"/>
        </w:rPr>
        <w:t xml:space="preserve"> a covering letter (or email) should follow the same rules as above, however the covering letter should also be scanned and supplied with the report/document together as one document. The </w:t>
      </w:r>
      <w:r w:rsidRPr="00D64309">
        <w:rPr>
          <w:rFonts w:cs="Arial"/>
          <w:b/>
        </w:rPr>
        <w:t>originating date</w:t>
      </w:r>
      <w:r w:rsidRPr="00D64309">
        <w:rPr>
          <w:rFonts w:cs="Arial"/>
        </w:rPr>
        <w:t xml:space="preserve"> (see above) will be the date appearing on the face of the </w:t>
      </w:r>
      <w:r w:rsidRPr="00D64309">
        <w:rPr>
          <w:rFonts w:cs="Arial"/>
          <w:u w:val="single"/>
        </w:rPr>
        <w:t>covering letter</w:t>
      </w:r>
      <w:r w:rsidRPr="00D64309">
        <w:rPr>
          <w:rFonts w:cs="Arial"/>
        </w:rPr>
        <w:t>.</w:t>
      </w:r>
    </w:p>
    <w:p w:rsidR="00171B80" w:rsidRPr="00D64309" w:rsidRDefault="00171B80" w:rsidP="00171B80">
      <w:pPr>
        <w:pStyle w:val="Bullets"/>
        <w:spacing w:after="120"/>
        <w:rPr>
          <w:rFonts w:cs="Arial"/>
        </w:rPr>
      </w:pPr>
      <w:r w:rsidRPr="00D64309">
        <w:rPr>
          <w:rFonts w:cs="Arial"/>
        </w:rPr>
        <w:t xml:space="preserve">If multiple reports/documents are received by the broker in a single package (i.e. as multiple attachments to a single email, or bundled together in one envelope), the broker may scan these documents and load them as one file. The </w:t>
      </w:r>
      <w:r w:rsidRPr="00D64309">
        <w:rPr>
          <w:rFonts w:cs="Arial"/>
          <w:b/>
        </w:rPr>
        <w:t>originating date</w:t>
      </w:r>
      <w:r w:rsidRPr="00D64309">
        <w:rPr>
          <w:rFonts w:cs="Arial"/>
        </w:rPr>
        <w:t xml:space="preserve"> (see above) will be the date appearing on the face of the </w:t>
      </w:r>
      <w:r w:rsidRPr="00D64309">
        <w:rPr>
          <w:rFonts w:cs="Arial"/>
          <w:u w:val="single"/>
        </w:rPr>
        <w:t>covering letter</w:t>
      </w:r>
      <w:r w:rsidRPr="00D64309">
        <w:rPr>
          <w:rFonts w:cs="Arial"/>
        </w:rPr>
        <w:t>.</w:t>
      </w:r>
    </w:p>
    <w:p w:rsidR="00171B80" w:rsidRPr="00D64309" w:rsidRDefault="00171B80" w:rsidP="009A1D3A">
      <w:pPr>
        <w:pStyle w:val="Heading4"/>
      </w:pPr>
      <w:bookmarkStart w:id="74" w:name="_Toc389214796"/>
      <w:r w:rsidRPr="00D64309">
        <w:t>Document Types</w:t>
      </w:r>
      <w:bookmarkEnd w:id="74"/>
    </w:p>
    <w:p w:rsidR="00171B80" w:rsidRPr="00D64309" w:rsidRDefault="00171B80" w:rsidP="00171B80">
      <w:pPr>
        <w:rPr>
          <w:rFonts w:cs="Arial"/>
        </w:rPr>
      </w:pPr>
      <w:r w:rsidRPr="00D64309">
        <w:rPr>
          <w:rFonts w:cs="Arial"/>
        </w:rPr>
        <w:t xml:space="preserve">It is possible to load documents on to the IMR with varying file types. However </w:t>
      </w:r>
      <w:r w:rsidRPr="00D64309">
        <w:rPr>
          <w:rFonts w:cs="Arial"/>
          <w:b/>
        </w:rPr>
        <w:t>for the recipient to open the document they must have the corresponding software on their PC</w:t>
      </w:r>
      <w:r w:rsidRPr="00D64309">
        <w:rPr>
          <w:rFonts w:cs="Arial"/>
        </w:rPr>
        <w:t xml:space="preserve">. For example, a user will not be able to open an MS Project file if they do not have MS Project installed on their PC. </w:t>
      </w:r>
    </w:p>
    <w:p w:rsidR="00171B80" w:rsidRDefault="00171B80" w:rsidP="00171B80">
      <w:pPr>
        <w:rPr>
          <w:rFonts w:cs="Arial"/>
        </w:rPr>
      </w:pPr>
      <w:r w:rsidRPr="00D64309">
        <w:rPr>
          <w:rFonts w:cs="Arial"/>
        </w:rPr>
        <w:t>Below is a list of recommended file extensions that may be commonly loaded onto the IMR. This list is not exhaustive, however</w:t>
      </w:r>
      <w:r w:rsidR="005D6535">
        <w:rPr>
          <w:rFonts w:cs="Arial"/>
        </w:rPr>
        <w:t>,</w:t>
      </w:r>
      <w:r w:rsidRPr="00D64309">
        <w:rPr>
          <w:rFonts w:cs="Arial"/>
        </w:rPr>
        <w:t xml:space="preserve"> users should consider whether the recipient is likely to be able to open the document in its original format, before loading to the IMR:</w:t>
      </w:r>
      <w:r>
        <w:rPr>
          <w:rFonts w:cs="Arial"/>
        </w:rPr>
        <w:t xml:space="preserve"> (Please see Appendix H for full list)</w:t>
      </w: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2801"/>
        <w:gridCol w:w="2801"/>
      </w:tblGrid>
      <w:tr w:rsidR="00171B80" w:rsidRPr="00D64309" w:rsidTr="005B3189">
        <w:trPr>
          <w:trHeight w:val="425"/>
          <w:jc w:val="center"/>
        </w:trPr>
        <w:tc>
          <w:tcPr>
            <w:tcW w:w="2801" w:type="dxa"/>
          </w:tcPr>
          <w:p w:rsidR="00171B80" w:rsidRPr="00D64309" w:rsidRDefault="00171B80" w:rsidP="005B3189">
            <w:pPr>
              <w:rPr>
                <w:rFonts w:cs="Arial"/>
              </w:rPr>
            </w:pPr>
            <w:r w:rsidRPr="00D64309">
              <w:rPr>
                <w:rFonts w:cs="Arial"/>
              </w:rPr>
              <w:t>Acrobat Reader (.pdf)</w:t>
            </w:r>
          </w:p>
        </w:tc>
        <w:tc>
          <w:tcPr>
            <w:tcW w:w="2801" w:type="dxa"/>
          </w:tcPr>
          <w:p w:rsidR="00171B80" w:rsidRPr="00D64309" w:rsidRDefault="00171B80" w:rsidP="005B3189">
            <w:pPr>
              <w:rPr>
                <w:rFonts w:cs="Arial"/>
              </w:rPr>
            </w:pPr>
            <w:r w:rsidRPr="00D64309">
              <w:rPr>
                <w:rFonts w:cs="Arial"/>
              </w:rPr>
              <w:t>AVI Movie File (.avi)</w:t>
            </w:r>
          </w:p>
        </w:tc>
        <w:tc>
          <w:tcPr>
            <w:tcW w:w="2801" w:type="dxa"/>
          </w:tcPr>
          <w:p w:rsidR="00171B80" w:rsidRPr="00D64309" w:rsidRDefault="00171B80" w:rsidP="005B3189">
            <w:pPr>
              <w:rPr>
                <w:rFonts w:cs="Arial"/>
              </w:rPr>
            </w:pPr>
            <w:r w:rsidRPr="00D64309">
              <w:rPr>
                <w:rFonts w:cs="Arial"/>
              </w:rPr>
              <w:t>Bitmap Image (.bmp)</w:t>
            </w:r>
          </w:p>
        </w:tc>
      </w:tr>
      <w:tr w:rsidR="00171B80" w:rsidRPr="00D64309" w:rsidTr="005B3189">
        <w:trPr>
          <w:trHeight w:val="425"/>
          <w:jc w:val="center"/>
        </w:trPr>
        <w:tc>
          <w:tcPr>
            <w:tcW w:w="2801" w:type="dxa"/>
          </w:tcPr>
          <w:p w:rsidR="00171B80" w:rsidRPr="00D64309" w:rsidRDefault="00171B80" w:rsidP="005B3189">
            <w:pPr>
              <w:rPr>
                <w:rFonts w:cs="Arial"/>
              </w:rPr>
            </w:pPr>
            <w:r w:rsidRPr="00D64309">
              <w:rPr>
                <w:rFonts w:cs="Arial"/>
              </w:rPr>
              <w:t>GIF Image (.gif)</w:t>
            </w:r>
          </w:p>
        </w:tc>
        <w:tc>
          <w:tcPr>
            <w:tcW w:w="2801" w:type="dxa"/>
          </w:tcPr>
          <w:p w:rsidR="00171B80" w:rsidRPr="00D64309" w:rsidRDefault="00171B80" w:rsidP="005B3189">
            <w:pPr>
              <w:rPr>
                <w:rFonts w:cs="Arial"/>
              </w:rPr>
            </w:pPr>
            <w:r w:rsidRPr="00D64309">
              <w:rPr>
                <w:rFonts w:cs="Arial"/>
              </w:rPr>
              <w:t>HTML (.htm)</w:t>
            </w:r>
          </w:p>
        </w:tc>
        <w:tc>
          <w:tcPr>
            <w:tcW w:w="2801" w:type="dxa"/>
          </w:tcPr>
          <w:p w:rsidR="00171B80" w:rsidRPr="00D64309" w:rsidRDefault="00171B80" w:rsidP="005B3189">
            <w:pPr>
              <w:rPr>
                <w:rFonts w:cs="Arial"/>
              </w:rPr>
            </w:pPr>
            <w:r w:rsidRPr="00D64309">
              <w:rPr>
                <w:rFonts w:cs="Arial"/>
              </w:rPr>
              <w:t>JPEG image (.jpg)</w:t>
            </w:r>
          </w:p>
        </w:tc>
      </w:tr>
      <w:tr w:rsidR="00171B80" w:rsidRPr="00D64309" w:rsidTr="005B3189">
        <w:trPr>
          <w:trHeight w:val="425"/>
          <w:jc w:val="center"/>
        </w:trPr>
        <w:tc>
          <w:tcPr>
            <w:tcW w:w="2801" w:type="dxa"/>
          </w:tcPr>
          <w:p w:rsidR="00171B80" w:rsidRPr="00D64309" w:rsidRDefault="00171B80" w:rsidP="005B3189">
            <w:pPr>
              <w:rPr>
                <w:rFonts w:cs="Arial"/>
              </w:rPr>
            </w:pPr>
            <w:r w:rsidRPr="00D64309">
              <w:rPr>
                <w:rFonts w:cs="Arial"/>
              </w:rPr>
              <w:t>MP3 Audio file</w:t>
            </w:r>
          </w:p>
        </w:tc>
        <w:tc>
          <w:tcPr>
            <w:tcW w:w="2801" w:type="dxa"/>
          </w:tcPr>
          <w:p w:rsidR="00171B80" w:rsidRPr="00D64309" w:rsidRDefault="00171B80" w:rsidP="005B3189">
            <w:pPr>
              <w:rPr>
                <w:rFonts w:cs="Arial"/>
              </w:rPr>
            </w:pPr>
            <w:r w:rsidRPr="00D64309">
              <w:rPr>
                <w:rFonts w:cs="Arial"/>
              </w:rPr>
              <w:t>MS Excel (.xls)</w:t>
            </w:r>
          </w:p>
        </w:tc>
        <w:tc>
          <w:tcPr>
            <w:tcW w:w="2801" w:type="dxa"/>
          </w:tcPr>
          <w:p w:rsidR="00171B80" w:rsidRPr="00D64309" w:rsidRDefault="00171B80" w:rsidP="005B3189">
            <w:pPr>
              <w:rPr>
                <w:rFonts w:cs="Arial"/>
              </w:rPr>
            </w:pPr>
            <w:r w:rsidRPr="00D64309">
              <w:rPr>
                <w:rFonts w:cs="Arial"/>
              </w:rPr>
              <w:t>MS Word (.doc)</w:t>
            </w:r>
          </w:p>
        </w:tc>
      </w:tr>
      <w:tr w:rsidR="00171B80" w:rsidRPr="00D64309" w:rsidTr="005B3189">
        <w:trPr>
          <w:trHeight w:val="425"/>
          <w:jc w:val="center"/>
        </w:trPr>
        <w:tc>
          <w:tcPr>
            <w:tcW w:w="2801" w:type="dxa"/>
          </w:tcPr>
          <w:p w:rsidR="00171B80" w:rsidRPr="00D64309" w:rsidRDefault="00171B80" w:rsidP="005B3189">
            <w:pPr>
              <w:rPr>
                <w:rFonts w:cs="Arial"/>
              </w:rPr>
            </w:pPr>
            <w:r w:rsidRPr="00D64309">
              <w:rPr>
                <w:rFonts w:cs="Arial"/>
              </w:rPr>
              <w:t xml:space="preserve">Portable Network Graphics </w:t>
            </w:r>
            <w:r w:rsidRPr="00D64309">
              <w:rPr>
                <w:rFonts w:cs="Arial"/>
              </w:rPr>
              <w:lastRenderedPageBreak/>
              <w:t>(.png)</w:t>
            </w:r>
          </w:p>
        </w:tc>
        <w:tc>
          <w:tcPr>
            <w:tcW w:w="2801" w:type="dxa"/>
          </w:tcPr>
          <w:p w:rsidR="00171B80" w:rsidRPr="00D64309" w:rsidRDefault="00171B80" w:rsidP="005B3189">
            <w:pPr>
              <w:rPr>
                <w:rFonts w:cs="Arial"/>
              </w:rPr>
            </w:pPr>
            <w:r w:rsidRPr="00D64309">
              <w:rPr>
                <w:rFonts w:cs="Arial"/>
              </w:rPr>
              <w:lastRenderedPageBreak/>
              <w:t>MS Power Point (.ppt)</w:t>
            </w:r>
          </w:p>
        </w:tc>
        <w:tc>
          <w:tcPr>
            <w:tcW w:w="2801" w:type="dxa"/>
          </w:tcPr>
          <w:p w:rsidR="00171B80" w:rsidRPr="00D64309" w:rsidRDefault="00171B80" w:rsidP="005B3189">
            <w:pPr>
              <w:rPr>
                <w:rFonts w:cs="Arial"/>
              </w:rPr>
            </w:pPr>
            <w:r w:rsidRPr="00D64309">
              <w:rPr>
                <w:rFonts w:cs="Arial"/>
              </w:rPr>
              <w:t>Text file (.txt)</w:t>
            </w:r>
          </w:p>
        </w:tc>
      </w:tr>
      <w:tr w:rsidR="00171B80" w:rsidRPr="00D64309" w:rsidTr="005B3189">
        <w:trPr>
          <w:trHeight w:val="425"/>
          <w:jc w:val="center"/>
        </w:trPr>
        <w:tc>
          <w:tcPr>
            <w:tcW w:w="2801" w:type="dxa"/>
          </w:tcPr>
          <w:p w:rsidR="00171B80" w:rsidRPr="00D64309" w:rsidRDefault="00171B80" w:rsidP="005B3189">
            <w:pPr>
              <w:rPr>
                <w:rFonts w:cs="Arial"/>
              </w:rPr>
            </w:pPr>
            <w:r w:rsidRPr="00D64309">
              <w:rPr>
                <w:rFonts w:cs="Arial"/>
              </w:rPr>
              <w:lastRenderedPageBreak/>
              <w:t>TIFF (.tif)</w:t>
            </w:r>
          </w:p>
        </w:tc>
        <w:tc>
          <w:tcPr>
            <w:tcW w:w="2801" w:type="dxa"/>
          </w:tcPr>
          <w:p w:rsidR="00171B80" w:rsidRPr="00D64309" w:rsidRDefault="00171B80" w:rsidP="005B3189">
            <w:pPr>
              <w:rPr>
                <w:rFonts w:cs="Arial"/>
              </w:rPr>
            </w:pPr>
            <w:r w:rsidRPr="00D64309">
              <w:rPr>
                <w:rFonts w:cs="Arial"/>
              </w:rPr>
              <w:t>Rich Text Format (.rtf)</w:t>
            </w:r>
          </w:p>
        </w:tc>
        <w:tc>
          <w:tcPr>
            <w:tcW w:w="2801" w:type="dxa"/>
          </w:tcPr>
          <w:p w:rsidR="00171B80" w:rsidRPr="00D64309" w:rsidRDefault="00171B80" w:rsidP="005B3189">
            <w:pPr>
              <w:rPr>
                <w:rFonts w:cs="Arial"/>
              </w:rPr>
            </w:pPr>
            <w:r w:rsidRPr="00D64309">
              <w:rPr>
                <w:rFonts w:cs="Arial"/>
              </w:rPr>
              <w:t>WAV file (.wav)</w:t>
            </w:r>
          </w:p>
        </w:tc>
      </w:tr>
      <w:tr w:rsidR="00171B80" w:rsidRPr="00D64309" w:rsidTr="005B3189">
        <w:trPr>
          <w:trHeight w:val="425"/>
          <w:jc w:val="center"/>
        </w:trPr>
        <w:tc>
          <w:tcPr>
            <w:tcW w:w="2801" w:type="dxa"/>
          </w:tcPr>
          <w:p w:rsidR="00171B80" w:rsidRPr="00D64309" w:rsidRDefault="00171B80" w:rsidP="005B3189">
            <w:pPr>
              <w:rPr>
                <w:rFonts w:cs="Arial"/>
              </w:rPr>
            </w:pPr>
            <w:r>
              <w:rPr>
                <w:rFonts w:cs="Arial"/>
              </w:rPr>
              <w:t xml:space="preserve">MS Word 2007 </w:t>
            </w:r>
            <w:r w:rsidRPr="00D64309">
              <w:rPr>
                <w:rFonts w:cs="Arial"/>
              </w:rPr>
              <w:t>(.docx)</w:t>
            </w:r>
          </w:p>
        </w:tc>
        <w:tc>
          <w:tcPr>
            <w:tcW w:w="2801" w:type="dxa"/>
          </w:tcPr>
          <w:p w:rsidR="00171B80" w:rsidRPr="00D64309" w:rsidRDefault="00171B80" w:rsidP="005B3189">
            <w:pPr>
              <w:rPr>
                <w:rFonts w:cs="Arial"/>
              </w:rPr>
            </w:pPr>
            <w:r>
              <w:rPr>
                <w:rFonts w:cs="Arial"/>
              </w:rPr>
              <w:t>Excel 2007</w:t>
            </w:r>
            <w:r w:rsidRPr="00D64309">
              <w:rPr>
                <w:rFonts w:cs="Arial"/>
              </w:rPr>
              <w:t>(.xlsx)</w:t>
            </w:r>
          </w:p>
        </w:tc>
        <w:tc>
          <w:tcPr>
            <w:tcW w:w="2801" w:type="dxa"/>
          </w:tcPr>
          <w:p w:rsidR="00171B80" w:rsidRPr="00D64309" w:rsidRDefault="00171B80" w:rsidP="005B3189">
            <w:pPr>
              <w:rPr>
                <w:rFonts w:cs="Arial"/>
              </w:rPr>
            </w:pPr>
            <w:r>
              <w:rPr>
                <w:rFonts w:cs="Arial"/>
              </w:rPr>
              <w:t>Powerpoint 2007 (.pptx)</w:t>
            </w:r>
          </w:p>
        </w:tc>
      </w:tr>
      <w:tr w:rsidR="00171B80" w:rsidRPr="00D64309" w:rsidTr="005B3189">
        <w:trPr>
          <w:trHeight w:val="425"/>
          <w:jc w:val="center"/>
        </w:trPr>
        <w:tc>
          <w:tcPr>
            <w:tcW w:w="2801" w:type="dxa"/>
          </w:tcPr>
          <w:p w:rsidR="00171B80" w:rsidRDefault="00171B80" w:rsidP="005B3189">
            <w:pPr>
              <w:rPr>
                <w:rFonts w:cs="Arial"/>
              </w:rPr>
            </w:pPr>
            <w:r>
              <w:rPr>
                <w:rFonts w:cs="Arial"/>
              </w:rPr>
              <w:t>Mail (.msg)</w:t>
            </w:r>
          </w:p>
        </w:tc>
        <w:tc>
          <w:tcPr>
            <w:tcW w:w="2801" w:type="dxa"/>
          </w:tcPr>
          <w:p w:rsidR="00171B80" w:rsidRDefault="00171B80" w:rsidP="005B3189">
            <w:pPr>
              <w:rPr>
                <w:rFonts w:cs="Arial"/>
              </w:rPr>
            </w:pPr>
          </w:p>
        </w:tc>
        <w:tc>
          <w:tcPr>
            <w:tcW w:w="2801" w:type="dxa"/>
          </w:tcPr>
          <w:p w:rsidR="00171B80" w:rsidRDefault="00171B80" w:rsidP="005B3189">
            <w:pPr>
              <w:rPr>
                <w:rFonts w:cs="Arial"/>
              </w:rPr>
            </w:pPr>
          </w:p>
        </w:tc>
      </w:tr>
    </w:tbl>
    <w:p w:rsidR="00171B80" w:rsidRPr="00D64309" w:rsidRDefault="00171B80" w:rsidP="00171B80">
      <w:pPr>
        <w:pStyle w:val="Bullets"/>
        <w:numPr>
          <w:ilvl w:val="0"/>
          <w:numId w:val="0"/>
        </w:numPr>
        <w:spacing w:before="120" w:after="120"/>
        <w:rPr>
          <w:rFonts w:cs="Arial"/>
          <w:szCs w:val="22"/>
        </w:rPr>
      </w:pPr>
      <w:r w:rsidRPr="00D64309">
        <w:rPr>
          <w:rFonts w:cs="Arial"/>
        </w:rPr>
        <w:t>In the event that a document cannot be converted to electronic format (for example an x-ray negative), the</w:t>
      </w:r>
      <w:r w:rsidRPr="00D64309">
        <w:rPr>
          <w:rFonts w:cs="Arial"/>
          <w:szCs w:val="22"/>
        </w:rPr>
        <w:t>n a reference on the ECF to these documents and where they are stored must be made.</w:t>
      </w:r>
    </w:p>
    <w:p w:rsidR="00171B80" w:rsidRPr="00AE12D8" w:rsidRDefault="00171B80" w:rsidP="00171B80">
      <w:pPr>
        <w:rPr>
          <w:rFonts w:cs="Arial"/>
          <w:i/>
        </w:rPr>
      </w:pPr>
      <w:r w:rsidRPr="00AE12D8">
        <w:rPr>
          <w:rFonts w:cs="Arial"/>
          <w:i/>
        </w:rPr>
        <w:t>Users should be aware that if they attempt to open a document for which they do not have the appropriate software installed on their PC, the audit trail will still show that the user has opened that document on ECF.</w:t>
      </w:r>
    </w:p>
    <w:p w:rsidR="00171B80" w:rsidRPr="00AE12D8" w:rsidRDefault="00171B80" w:rsidP="00171B80">
      <w:pPr>
        <w:pStyle w:val="Bullets"/>
        <w:numPr>
          <w:ilvl w:val="0"/>
          <w:numId w:val="0"/>
        </w:numPr>
        <w:spacing w:before="120" w:after="120"/>
        <w:rPr>
          <w:rFonts w:cs="Arial"/>
          <w:i/>
        </w:rPr>
      </w:pPr>
      <w:r w:rsidRPr="00AE12D8">
        <w:rPr>
          <w:rFonts w:cs="Arial"/>
          <w:i/>
        </w:rPr>
        <w:t>There is a strong recommendation in place for the size of documents which can be loaded to the IMR. The maximum limit is 20MB for any one document.</w:t>
      </w:r>
    </w:p>
    <w:p w:rsidR="00171B80" w:rsidRPr="00D64309" w:rsidRDefault="00171B80" w:rsidP="009A1D3A">
      <w:pPr>
        <w:pStyle w:val="Heading4"/>
      </w:pPr>
      <w:bookmarkStart w:id="75" w:name="_Toc389214797"/>
      <w:r w:rsidRPr="00D64309">
        <w:t>Document Order Within Claim File</w:t>
      </w:r>
      <w:bookmarkEnd w:id="75"/>
    </w:p>
    <w:p w:rsidR="00171B80" w:rsidRDefault="00171B80" w:rsidP="00171B80">
      <w:pPr>
        <w:rPr>
          <w:rFonts w:cs="Arial"/>
        </w:rPr>
      </w:pPr>
      <w:r w:rsidRPr="00D64309">
        <w:rPr>
          <w:rFonts w:cs="Arial"/>
        </w:rPr>
        <w:t>Documents are listed on the repository in alpha-numeric order. However, the “Date Created” is shown for each document and documents can be sorted by this date by: (1) entering the “All” documents tab, then; (2) clicking the “Claim Related Documents” tab to display all documents together in one list; then (3) clicking the column heading once (ascending date order) or twice (descending date order).</w:t>
      </w:r>
    </w:p>
    <w:p w:rsidR="00171B80" w:rsidRPr="005D6535" w:rsidRDefault="00171B80" w:rsidP="005D6535">
      <w:pPr>
        <w:pStyle w:val="Heading3"/>
      </w:pPr>
      <w:bookmarkStart w:id="76" w:name="_Toc389214798"/>
      <w:bookmarkStart w:id="77" w:name="_Toc396989129"/>
      <w:r w:rsidRPr="005D6535">
        <w:t>Document Origin Information</w:t>
      </w:r>
      <w:bookmarkEnd w:id="76"/>
      <w:bookmarkEnd w:id="77"/>
    </w:p>
    <w:p w:rsidR="00171B80" w:rsidRPr="003C5C10" w:rsidRDefault="00171B80" w:rsidP="00171B80">
      <w:pPr>
        <w:spacing w:after="120"/>
        <w:rPr>
          <w:rFonts w:cs="Arial"/>
        </w:rPr>
      </w:pPr>
      <w:r w:rsidRPr="003C5C10">
        <w:rPr>
          <w:rFonts w:cs="Arial"/>
        </w:rPr>
        <w:t>Documents can only be loaded onto the IMR with a corresponding CLASS transaction. Each document must be linked to the corresponding transaction. There are minimum data elements that must be recorded:</w:t>
      </w:r>
    </w:p>
    <w:p w:rsidR="00171B80" w:rsidRPr="003C5C10" w:rsidRDefault="00171B80" w:rsidP="00171B80">
      <w:pPr>
        <w:pStyle w:val="Bullets"/>
        <w:spacing w:after="120"/>
        <w:rPr>
          <w:rFonts w:cs="Arial"/>
        </w:rPr>
      </w:pPr>
      <w:r w:rsidRPr="003C5C10">
        <w:rPr>
          <w:rFonts w:cs="Arial"/>
        </w:rPr>
        <w:t xml:space="preserve">Date of the document – this is the date appearing on the face of the document. </w:t>
      </w:r>
    </w:p>
    <w:p w:rsidR="00171B80" w:rsidRPr="003C5C10" w:rsidRDefault="00171B80" w:rsidP="00171B80">
      <w:pPr>
        <w:pStyle w:val="Bullets2"/>
        <w:spacing w:after="120"/>
        <w:rPr>
          <w:rFonts w:cs="Arial"/>
        </w:rPr>
      </w:pPr>
      <w:r w:rsidRPr="003C5C10">
        <w:rPr>
          <w:rFonts w:cs="Arial"/>
        </w:rPr>
        <w:t>This should, where possible, be contained in the do</w:t>
      </w:r>
      <w:r w:rsidR="00070A3B">
        <w:rPr>
          <w:rFonts w:cs="Arial"/>
        </w:rPr>
        <w:t>cument name</w:t>
      </w:r>
    </w:p>
    <w:p w:rsidR="00171B80" w:rsidRPr="003C5C10" w:rsidRDefault="00171B80" w:rsidP="00171B80">
      <w:pPr>
        <w:pStyle w:val="Bullets"/>
        <w:spacing w:after="120"/>
        <w:rPr>
          <w:rFonts w:cs="Arial"/>
        </w:rPr>
      </w:pPr>
      <w:r w:rsidRPr="003C5C10">
        <w:rPr>
          <w:rFonts w:cs="Arial"/>
        </w:rPr>
        <w:t>Originator – the author/creator of the document.</w:t>
      </w:r>
    </w:p>
    <w:p w:rsidR="00171B80" w:rsidRPr="003C5C10" w:rsidRDefault="00171B80" w:rsidP="00171B80">
      <w:pPr>
        <w:pStyle w:val="Bullets2"/>
        <w:spacing w:after="120"/>
        <w:rPr>
          <w:rFonts w:cs="Arial"/>
        </w:rPr>
      </w:pPr>
      <w:r w:rsidRPr="003C5C10">
        <w:rPr>
          <w:rFonts w:cs="Arial"/>
        </w:rPr>
        <w:t>(This should, where possible, be</w:t>
      </w:r>
      <w:r w:rsidR="00070A3B">
        <w:rPr>
          <w:rFonts w:cs="Arial"/>
        </w:rPr>
        <w:t xml:space="preserve"> contained in the document name</w:t>
      </w:r>
    </w:p>
    <w:p w:rsidR="00171B80" w:rsidRPr="003C5C10" w:rsidRDefault="00171B80" w:rsidP="00171B80">
      <w:pPr>
        <w:pStyle w:val="Bullets"/>
        <w:spacing w:after="120"/>
        <w:rPr>
          <w:rFonts w:cs="Arial"/>
        </w:rPr>
      </w:pPr>
      <w:r w:rsidRPr="003C5C10">
        <w:rPr>
          <w:rFonts w:cs="Arial"/>
        </w:rPr>
        <w:t>Version** – the version of the document being loaded</w:t>
      </w:r>
    </w:p>
    <w:p w:rsidR="00171B80" w:rsidRPr="003C5C10" w:rsidRDefault="00171B80" w:rsidP="00171B80">
      <w:pPr>
        <w:pStyle w:val="Bullets"/>
        <w:spacing w:after="120"/>
        <w:rPr>
          <w:rFonts w:cs="Arial"/>
        </w:rPr>
      </w:pPr>
      <w:r w:rsidRPr="003C5C10">
        <w:rPr>
          <w:rFonts w:cs="Arial"/>
        </w:rPr>
        <w:t xml:space="preserve">Version originator** – the individual that loaded the document to the IMR. </w:t>
      </w:r>
    </w:p>
    <w:p w:rsidR="00171B80" w:rsidRPr="00D64309" w:rsidRDefault="00171B80" w:rsidP="00171B80">
      <w:pPr>
        <w:spacing w:after="120"/>
        <w:rPr>
          <w:rFonts w:cs="Arial"/>
        </w:rPr>
      </w:pPr>
      <w:r w:rsidRPr="003C5C10">
        <w:rPr>
          <w:rFonts w:cs="Arial"/>
        </w:rPr>
        <w:t>Some of these will be automatically generated by the system; they are denoted ** accordingly.</w:t>
      </w:r>
    </w:p>
    <w:p w:rsidR="00171B80" w:rsidRPr="00D64309" w:rsidRDefault="00171B80" w:rsidP="00171B80">
      <w:pPr>
        <w:rPr>
          <w:rFonts w:cs="Arial"/>
        </w:rPr>
      </w:pPr>
      <w:r w:rsidRPr="00D64309">
        <w:rPr>
          <w:rFonts w:cs="Arial"/>
        </w:rPr>
        <w:t xml:space="preserve">It is evident that there may be multiple versions of the documents as they will be passing through many parties before being loaded on to the ECF. For example, the claimant will be passing details to the Broker and the Broker will be passing these details to the insurer. All of these may have cover letters accompanying the documents. </w:t>
      </w:r>
    </w:p>
    <w:p w:rsidR="00171B80" w:rsidRPr="003C5C10" w:rsidRDefault="00171B80" w:rsidP="00171B80">
      <w:pPr>
        <w:pStyle w:val="Bullets"/>
        <w:numPr>
          <w:ilvl w:val="0"/>
          <w:numId w:val="0"/>
        </w:numPr>
        <w:spacing w:after="120"/>
        <w:rPr>
          <w:rFonts w:cs="Arial"/>
        </w:rPr>
      </w:pPr>
      <w:r w:rsidRPr="003C5C10">
        <w:rPr>
          <w:rFonts w:cs="Arial"/>
        </w:rPr>
        <w:t>Brokers are responsible for ensuring that they can access documents loaded onto the IMR by other parties. This may either be via two-way DRI functionality, or by obtaining licences to allow interactive use of ECF. Brokers that are unable to access documents in one of these ways should continue to process claims on paper.</w:t>
      </w:r>
    </w:p>
    <w:p w:rsidR="00171B80" w:rsidRPr="005D6535" w:rsidRDefault="00171B80" w:rsidP="005D6535">
      <w:pPr>
        <w:pStyle w:val="Heading3"/>
      </w:pPr>
      <w:bookmarkStart w:id="78" w:name="_Document_Guidelines"/>
      <w:bookmarkStart w:id="79" w:name="_Toc389214799"/>
      <w:bookmarkStart w:id="80" w:name="_Toc396989130"/>
      <w:bookmarkEnd w:id="78"/>
      <w:r w:rsidRPr="005D6535">
        <w:t>Document Guidelines</w:t>
      </w:r>
      <w:bookmarkEnd w:id="79"/>
      <w:bookmarkEnd w:id="80"/>
    </w:p>
    <w:p w:rsidR="00171B80" w:rsidRPr="00171B80" w:rsidRDefault="00171B80" w:rsidP="00171B80">
      <w:pPr>
        <w:rPr>
          <w:rFonts w:cs="Arial"/>
        </w:rPr>
      </w:pPr>
      <w:r w:rsidRPr="00171B80">
        <w:rPr>
          <w:rFonts w:cs="Arial"/>
        </w:rPr>
        <w:t>It is proposed, as a guide, that the naming convention constructed within the name field of the IMR when documents are being loaded should:</w:t>
      </w:r>
    </w:p>
    <w:p w:rsidR="00171B80" w:rsidRPr="00171B80" w:rsidRDefault="00171B80" w:rsidP="00EB5345">
      <w:pPr>
        <w:pStyle w:val="Bullets"/>
      </w:pPr>
      <w:r w:rsidRPr="00171B80">
        <w:t>Be clear and concise to the document loader and the recipient</w:t>
      </w:r>
    </w:p>
    <w:p w:rsidR="00EB5345" w:rsidRDefault="00171B80" w:rsidP="00EB5345">
      <w:pPr>
        <w:pStyle w:val="Bullets"/>
      </w:pPr>
      <w:r w:rsidRPr="00171B80">
        <w:t>Relate to the document that is being loaded</w:t>
      </w:r>
    </w:p>
    <w:p w:rsidR="00EB5345" w:rsidRDefault="00EB5345" w:rsidP="00EB5345">
      <w:pPr>
        <w:pStyle w:val="Bullets"/>
        <w:numPr>
          <w:ilvl w:val="0"/>
          <w:numId w:val="0"/>
        </w:numPr>
        <w:ind w:left="397"/>
      </w:pPr>
    </w:p>
    <w:p w:rsidR="000E187E" w:rsidRPr="00171B80" w:rsidRDefault="000E187E" w:rsidP="00EB5345">
      <w:pPr>
        <w:pStyle w:val="Bullets"/>
        <w:numPr>
          <w:ilvl w:val="0"/>
          <w:numId w:val="0"/>
        </w:numPr>
        <w:ind w:left="397"/>
      </w:pPr>
    </w:p>
    <w:p w:rsidR="00171B80" w:rsidRPr="00171B80" w:rsidRDefault="00171B80" w:rsidP="00171B80">
      <w:pPr>
        <w:rPr>
          <w:rFonts w:cs="Arial"/>
        </w:rPr>
      </w:pPr>
      <w:r w:rsidRPr="00171B80">
        <w:rPr>
          <w:rFonts w:cs="Arial"/>
        </w:rPr>
        <w:lastRenderedPageBreak/>
        <w:t>For example: Mendes &amp; Mount report received after a claims review</w:t>
      </w:r>
      <w:r w:rsidR="003C5C10">
        <w:rPr>
          <w:rFonts w:cs="Arial"/>
        </w:rPr>
        <w:t>,</w:t>
      </w:r>
      <w:r w:rsidRPr="00171B80">
        <w:rPr>
          <w:rFonts w:cs="Arial"/>
        </w:rPr>
        <w:t xml:space="preserve"> supported by a cedant billing and broker schedule</w:t>
      </w:r>
      <w:r w:rsidR="003C5C10">
        <w:rPr>
          <w:rFonts w:cs="Arial"/>
        </w:rPr>
        <w:t>:</w:t>
      </w:r>
    </w:p>
    <w:p w:rsidR="00171B80" w:rsidRPr="00171B80" w:rsidRDefault="00171B80" w:rsidP="00EB5345">
      <w:pPr>
        <w:pStyle w:val="Bullets"/>
      </w:pPr>
      <w:r w:rsidRPr="00171B80">
        <w:t>Broker X…….Settlement Back Up………Cedant Name</w:t>
      </w:r>
    </w:p>
    <w:p w:rsidR="00171B80" w:rsidRDefault="00171B80" w:rsidP="00EB5345">
      <w:pPr>
        <w:pStyle w:val="Bullets"/>
      </w:pPr>
      <w:r w:rsidRPr="00171B80">
        <w:t>M&amp;M….April Review</w:t>
      </w:r>
    </w:p>
    <w:p w:rsidR="00EB5345" w:rsidRPr="00171B80" w:rsidRDefault="00EB5345" w:rsidP="00EB5345">
      <w:pPr>
        <w:pStyle w:val="Bullets"/>
        <w:numPr>
          <w:ilvl w:val="0"/>
          <w:numId w:val="0"/>
        </w:numPr>
        <w:ind w:left="397"/>
      </w:pPr>
    </w:p>
    <w:p w:rsidR="00171B80" w:rsidRPr="00171B80" w:rsidRDefault="00171B80" w:rsidP="00171B80">
      <w:pPr>
        <w:rPr>
          <w:rFonts w:cs="Arial"/>
        </w:rPr>
      </w:pPr>
      <w:r w:rsidRPr="00171B80">
        <w:rPr>
          <w:rFonts w:cs="Arial"/>
        </w:rPr>
        <w:t>The above are only basic examples of a document name relati</w:t>
      </w:r>
      <w:r w:rsidR="003C5C10">
        <w:rPr>
          <w:rFonts w:cs="Arial"/>
        </w:rPr>
        <w:t>ng to the document being loaded whilst being clear,</w:t>
      </w:r>
      <w:r w:rsidRPr="00171B80">
        <w:rPr>
          <w:rFonts w:cs="Arial"/>
        </w:rPr>
        <w:t xml:space="preserve"> concise and meaningful. The originating date of the document must always be entered within the relating date fields within the IMR. </w:t>
      </w:r>
    </w:p>
    <w:p w:rsidR="00171B80" w:rsidRDefault="00171B80" w:rsidP="00171B80">
      <w:pPr>
        <w:rPr>
          <w:rFonts w:cs="Arial"/>
        </w:rPr>
      </w:pPr>
      <w:r w:rsidRPr="00843D9C">
        <w:rPr>
          <w:rFonts w:cs="Arial"/>
          <w:b/>
        </w:rPr>
        <w:t>Note:</w:t>
      </w:r>
      <w:r w:rsidRPr="00171B80">
        <w:rPr>
          <w:rFonts w:cs="Arial"/>
        </w:rPr>
        <w:t xml:space="preserve"> Documents loaded via DRI are named according to the original document and the brokers internal repositories or document management systems. It is accepted that brokers may a</w:t>
      </w:r>
      <w:r w:rsidR="003C5C10">
        <w:rPr>
          <w:rFonts w:cs="Arial"/>
        </w:rPr>
        <w:t>lready have in place systems,</w:t>
      </w:r>
      <w:r w:rsidRPr="00171B80">
        <w:rPr>
          <w:rFonts w:cs="Arial"/>
        </w:rPr>
        <w:t xml:space="preserve"> processes and procedures that dictate naming conventions. However</w:t>
      </w:r>
      <w:r w:rsidR="00E71AF1">
        <w:rPr>
          <w:rFonts w:cs="Arial"/>
        </w:rPr>
        <w:t xml:space="preserve">, </w:t>
      </w:r>
      <w:r w:rsidRPr="00171B80">
        <w:rPr>
          <w:rFonts w:cs="Arial"/>
        </w:rPr>
        <w:t>where possible or when facing difficulty naming conventions should be clear, concise, relative and meaningful.</w:t>
      </w:r>
    </w:p>
    <w:p w:rsidR="00171B80" w:rsidRPr="005D6535" w:rsidRDefault="00171B80" w:rsidP="005D6535">
      <w:pPr>
        <w:pStyle w:val="Heading3"/>
      </w:pPr>
      <w:bookmarkStart w:id="81" w:name="_Toc389214800"/>
      <w:bookmarkStart w:id="82" w:name="_Toc396989131"/>
      <w:r w:rsidRPr="005D6535">
        <w:t>Endorsements</w:t>
      </w:r>
      <w:bookmarkEnd w:id="81"/>
      <w:bookmarkEnd w:id="82"/>
    </w:p>
    <w:p w:rsidR="00171B80" w:rsidRPr="00D64309" w:rsidRDefault="00171B80" w:rsidP="00171B80">
      <w:pPr>
        <w:pStyle w:val="Bullets"/>
        <w:numPr>
          <w:ilvl w:val="0"/>
          <w:numId w:val="0"/>
        </w:numPr>
        <w:spacing w:before="120" w:after="120"/>
        <w:rPr>
          <w:rFonts w:cs="Arial"/>
        </w:rPr>
      </w:pPr>
      <w:r w:rsidRPr="00D64309">
        <w:rPr>
          <w:rFonts w:cs="Arial"/>
        </w:rPr>
        <w:t>Brokers must ensure that all documents loaded to the UMR tab are appropriately named and give some indication as to the information which they contain. For example “Signed Slip”, “Endorsement 1 – addition of location (state address) or vessel (state name of vessel)”. This will allow all parties viewing the UMR to quickly ascertain the contents of each document.</w:t>
      </w:r>
    </w:p>
    <w:p w:rsidR="00D72FD0" w:rsidRPr="00530CF8" w:rsidRDefault="00171B80" w:rsidP="00530CF8">
      <w:pPr>
        <w:pStyle w:val="Bullets"/>
        <w:numPr>
          <w:ilvl w:val="0"/>
          <w:numId w:val="0"/>
        </w:numPr>
        <w:spacing w:before="120" w:after="120"/>
        <w:rPr>
          <w:rFonts w:cs="Arial"/>
        </w:rPr>
      </w:pPr>
      <w:r w:rsidRPr="00D64309">
        <w:rPr>
          <w:rFonts w:cs="Arial"/>
        </w:rPr>
        <w:t>Where there are multiple endorsements attaching to a UMR, the broker should use the claim narrative within the UCR to make reference to the specific endorsement(s) that may be applicable to that claim.</w:t>
      </w:r>
      <w:bookmarkStart w:id="83" w:name="BrokerActionToQuery"/>
      <w:bookmarkEnd w:id="83"/>
    </w:p>
    <w:p w:rsidR="00B24D97" w:rsidRPr="00EF0D65" w:rsidRDefault="00B24D97" w:rsidP="00EF0D65">
      <w:pPr>
        <w:pStyle w:val="Heading2"/>
      </w:pPr>
      <w:bookmarkStart w:id="84" w:name="_Toc112226821"/>
      <w:bookmarkStart w:id="85" w:name="_Toc134427283"/>
      <w:bookmarkStart w:id="86" w:name="_Toc142277042"/>
      <w:bookmarkStart w:id="87" w:name="_Toc389214804"/>
      <w:bookmarkStart w:id="88" w:name="_Toc396989132"/>
      <w:r w:rsidRPr="00EF0D65">
        <w:t>Establish Agreement Parties</w:t>
      </w:r>
      <w:bookmarkEnd w:id="84"/>
      <w:bookmarkEnd w:id="85"/>
      <w:bookmarkEnd w:id="86"/>
      <w:bookmarkEnd w:id="87"/>
      <w:bookmarkEnd w:id="88"/>
    </w:p>
    <w:p w:rsidR="00B24D97" w:rsidRPr="00E83CC8" w:rsidRDefault="00B24D97" w:rsidP="008208AA">
      <w:pPr>
        <w:rPr>
          <w:rFonts w:cs="Arial"/>
        </w:rPr>
      </w:pPr>
      <w:r w:rsidRPr="00E83CC8">
        <w:rPr>
          <w:rFonts w:cs="Arial"/>
        </w:rPr>
        <w:t xml:space="preserve">Referring back to the ECF Business Process Model – Grouped by Process </w:t>
      </w:r>
      <w:r w:rsidRPr="00070A3B">
        <w:rPr>
          <w:rFonts w:cs="Arial"/>
        </w:rPr>
        <w:t xml:space="preserve">(see </w:t>
      </w:r>
      <w:hyperlink w:anchor="_APPENDIx_B_–" w:history="1">
        <w:r w:rsidRPr="00070A3B">
          <w:rPr>
            <w:rStyle w:val="Hyperlink"/>
            <w:rFonts w:cs="Arial"/>
          </w:rPr>
          <w:t>section</w:t>
        </w:r>
        <w:r w:rsidR="00070A3B" w:rsidRPr="00070A3B">
          <w:rPr>
            <w:rStyle w:val="Hyperlink"/>
          </w:rPr>
          <w:t xml:space="preserve"> 7</w:t>
        </w:r>
      </w:hyperlink>
      <w:r w:rsidRPr="00070A3B">
        <w:rPr>
          <w:rFonts w:cs="Arial"/>
        </w:rPr>
        <w:t>),</w:t>
      </w:r>
      <w:r w:rsidRPr="00E83CC8">
        <w:rPr>
          <w:rFonts w:cs="Arial"/>
        </w:rPr>
        <w:t xml:space="preserve"> this section describes Stage 2 (Establishing Agreement Parties) within the Claims process.</w:t>
      </w:r>
    </w:p>
    <w:p w:rsidR="00B24D97" w:rsidRPr="00E83CC8" w:rsidRDefault="00B24D97" w:rsidP="00EF0D65">
      <w:pPr>
        <w:pStyle w:val="Heading3"/>
      </w:pPr>
      <w:bookmarkStart w:id="89" w:name="_Toc112226822"/>
      <w:bookmarkStart w:id="90" w:name="_Toc134427284"/>
      <w:bookmarkStart w:id="91" w:name="_Toc142277043"/>
      <w:bookmarkStart w:id="92" w:name="_Toc389214805"/>
      <w:bookmarkStart w:id="93" w:name="_Toc396989133"/>
      <w:r w:rsidRPr="00E83CC8">
        <w:t>Generic Process</w:t>
      </w:r>
      <w:bookmarkEnd w:id="89"/>
      <w:bookmarkEnd w:id="90"/>
      <w:bookmarkEnd w:id="91"/>
      <w:bookmarkEnd w:id="92"/>
      <w:bookmarkEnd w:id="93"/>
    </w:p>
    <w:p w:rsidR="00B24D97" w:rsidRPr="00E83CC8" w:rsidRDefault="00B24D97" w:rsidP="00D83B64">
      <w:pPr>
        <w:rPr>
          <w:rFonts w:cs="Arial"/>
          <w:bCs/>
          <w:szCs w:val="22"/>
        </w:rPr>
      </w:pPr>
      <w:r w:rsidRPr="00E83CC8">
        <w:rPr>
          <w:rFonts w:cs="Arial"/>
          <w:bCs/>
          <w:szCs w:val="22"/>
        </w:rPr>
        <w:t>Steps:</w:t>
      </w:r>
    </w:p>
    <w:p w:rsidR="00B24D97" w:rsidRPr="00E83CC8" w:rsidRDefault="00B24D97" w:rsidP="00E44F52">
      <w:pPr>
        <w:numPr>
          <w:ilvl w:val="0"/>
          <w:numId w:val="6"/>
        </w:numPr>
        <w:tabs>
          <w:tab w:val="clear" w:pos="720"/>
          <w:tab w:val="num" w:pos="567"/>
        </w:tabs>
        <w:spacing w:after="120"/>
        <w:ind w:left="567" w:hanging="567"/>
        <w:rPr>
          <w:rFonts w:cs="Arial"/>
          <w:szCs w:val="22"/>
        </w:rPr>
      </w:pPr>
      <w:r w:rsidRPr="00E83CC8">
        <w:rPr>
          <w:rFonts w:cs="Arial"/>
          <w:szCs w:val="22"/>
        </w:rPr>
        <w:t>Broker supplies the identity of the Lead Agreement Party, by creating the applicable CLASS entry under the applicable Original Signing Number &amp; Date.</w:t>
      </w:r>
    </w:p>
    <w:p w:rsidR="00B24D97" w:rsidRDefault="008A577E" w:rsidP="00E44F52">
      <w:pPr>
        <w:numPr>
          <w:ilvl w:val="0"/>
          <w:numId w:val="6"/>
        </w:numPr>
        <w:tabs>
          <w:tab w:val="clear" w:pos="720"/>
          <w:tab w:val="num" w:pos="567"/>
        </w:tabs>
        <w:spacing w:after="120"/>
        <w:ind w:left="567" w:hanging="567"/>
        <w:rPr>
          <w:rFonts w:cs="Arial"/>
          <w:szCs w:val="22"/>
        </w:rPr>
      </w:pPr>
      <w:r w:rsidRPr="00BC2770">
        <w:rPr>
          <w:rFonts w:cs="Arial"/>
          <w:szCs w:val="22"/>
        </w:rPr>
        <w:t>Agreement parties are established by the lead. The claim will always route to XCS TP for processing.</w:t>
      </w:r>
    </w:p>
    <w:p w:rsidR="00530CF8" w:rsidRPr="00BC2770" w:rsidRDefault="00530CF8" w:rsidP="00530CF8">
      <w:pPr>
        <w:spacing w:after="120"/>
        <w:ind w:left="567"/>
        <w:rPr>
          <w:rFonts w:cs="Arial"/>
          <w:szCs w:val="22"/>
        </w:rPr>
      </w:pPr>
    </w:p>
    <w:p w:rsidR="00B24D97" w:rsidRPr="00BC2770" w:rsidRDefault="00B24D97" w:rsidP="00C95396">
      <w:pPr>
        <w:pStyle w:val="Heading3"/>
        <w:rPr>
          <w:rFonts w:cs="Arial"/>
        </w:rPr>
      </w:pPr>
      <w:bookmarkStart w:id="94" w:name="_Toc112226823"/>
      <w:bookmarkStart w:id="95" w:name="_Toc134427285"/>
      <w:bookmarkStart w:id="96" w:name="_Toc142277044"/>
      <w:bookmarkStart w:id="97" w:name="_Toc389214806"/>
      <w:bookmarkStart w:id="98" w:name="_Toc396989134"/>
      <w:r w:rsidRPr="00BC2770">
        <w:rPr>
          <w:rFonts w:cs="Arial"/>
        </w:rPr>
        <w:t>Variations</w:t>
      </w:r>
      <w:bookmarkEnd w:id="94"/>
      <w:bookmarkEnd w:id="95"/>
      <w:bookmarkEnd w:id="96"/>
      <w:bookmarkEnd w:id="97"/>
      <w:bookmarkEnd w:id="98"/>
    </w:p>
    <w:p w:rsidR="00B24D97" w:rsidRPr="00BC2770" w:rsidRDefault="00B24D97" w:rsidP="00C95396">
      <w:pPr>
        <w:rPr>
          <w:rFonts w:cs="Arial"/>
        </w:rPr>
      </w:pPr>
      <w:r w:rsidRPr="00BC2770">
        <w:rPr>
          <w:rFonts w:cs="Arial"/>
        </w:rPr>
        <w:t>There are a number of variations to the above process. These variations should be managed by the Lead Agreement Party who may add subsequent Agreement Parties as appropriate. XCS will ensure that this procedure has been undertaken once the CLASS transaction has been routed to them. These variations include:</w:t>
      </w:r>
    </w:p>
    <w:p w:rsidR="00B57D6B" w:rsidRPr="00BC2770" w:rsidRDefault="00B57D6B" w:rsidP="00B57D6B">
      <w:pPr>
        <w:numPr>
          <w:ilvl w:val="0"/>
          <w:numId w:val="7"/>
        </w:numPr>
        <w:tabs>
          <w:tab w:val="clear" w:pos="720"/>
          <w:tab w:val="left" w:pos="567"/>
        </w:tabs>
        <w:spacing w:after="120"/>
        <w:ind w:left="567" w:hanging="567"/>
        <w:rPr>
          <w:rFonts w:cs="Arial"/>
          <w:bCs/>
          <w:szCs w:val="22"/>
        </w:rPr>
      </w:pPr>
      <w:r w:rsidRPr="00BC2770">
        <w:rPr>
          <w:rFonts w:cs="Arial"/>
          <w:bCs/>
          <w:szCs w:val="22"/>
        </w:rPr>
        <w:t>Where the Lloyd’s Claim Scheme requires two Agreement Parties plus XCS. For example, a Complex claim under the 2010 Claims Scheme requiring Lead and 2</w:t>
      </w:r>
      <w:r w:rsidRPr="00BC2770">
        <w:rPr>
          <w:rFonts w:cs="Arial"/>
          <w:bCs/>
          <w:szCs w:val="22"/>
          <w:vertAlign w:val="superscript"/>
        </w:rPr>
        <w:t>nd</w:t>
      </w:r>
      <w:r w:rsidRPr="00BC2770">
        <w:rPr>
          <w:rFonts w:cs="Arial"/>
          <w:bCs/>
          <w:szCs w:val="22"/>
        </w:rPr>
        <w:t xml:space="preserve"> Lead agreement (where XCS perform a Technical Processing role only but are still required to respond to the transaction in ECF).</w:t>
      </w:r>
    </w:p>
    <w:p w:rsidR="00B24D97" w:rsidRPr="00BC2770" w:rsidRDefault="00B24D97" w:rsidP="00E44F52">
      <w:pPr>
        <w:numPr>
          <w:ilvl w:val="0"/>
          <w:numId w:val="7"/>
        </w:numPr>
        <w:tabs>
          <w:tab w:val="clear" w:pos="720"/>
          <w:tab w:val="left" w:pos="567"/>
        </w:tabs>
        <w:spacing w:after="120"/>
        <w:ind w:left="567" w:hanging="567"/>
        <w:rPr>
          <w:rFonts w:cs="Arial"/>
          <w:bCs/>
          <w:szCs w:val="22"/>
        </w:rPr>
      </w:pPr>
      <w:r w:rsidRPr="00BC2770">
        <w:rPr>
          <w:rFonts w:cs="Arial"/>
          <w:bCs/>
          <w:szCs w:val="22"/>
        </w:rPr>
        <w:t xml:space="preserve">Where the Lloyd’s Claim Scheme requires all Managing Agencies to be Agreement Parties, for example ex gratia claims. </w:t>
      </w:r>
    </w:p>
    <w:p w:rsidR="00B24D97" w:rsidRPr="00BC2770" w:rsidRDefault="00B24D97" w:rsidP="00E44F52">
      <w:pPr>
        <w:numPr>
          <w:ilvl w:val="0"/>
          <w:numId w:val="7"/>
        </w:numPr>
        <w:tabs>
          <w:tab w:val="clear" w:pos="720"/>
          <w:tab w:val="num" w:pos="-2835"/>
          <w:tab w:val="left" w:pos="567"/>
        </w:tabs>
        <w:spacing w:after="120"/>
        <w:ind w:left="567" w:hanging="567"/>
        <w:rPr>
          <w:rFonts w:cs="Arial"/>
          <w:bCs/>
          <w:szCs w:val="22"/>
        </w:rPr>
      </w:pPr>
      <w:r w:rsidRPr="00BC2770">
        <w:rPr>
          <w:rFonts w:cs="Arial"/>
          <w:szCs w:val="22"/>
        </w:rPr>
        <w:t>Where a claim delegated to XCS has been sent to the Lead Agreement Party.</w:t>
      </w:r>
      <w:r w:rsidRPr="00BC2770">
        <w:rPr>
          <w:rFonts w:cs="Arial"/>
          <w:bCs/>
          <w:szCs w:val="22"/>
        </w:rPr>
        <w:t xml:space="preserve"> </w:t>
      </w:r>
      <w:r w:rsidR="00B57D6B" w:rsidRPr="000E187E">
        <w:rPr>
          <w:rFonts w:cs="Arial"/>
          <w:bCs/>
          <w:szCs w:val="22"/>
        </w:rPr>
        <w:t>S</w:t>
      </w:r>
      <w:r w:rsidRPr="000E187E">
        <w:rPr>
          <w:rFonts w:cs="Arial"/>
          <w:bCs/>
          <w:szCs w:val="22"/>
        </w:rPr>
        <w:t xml:space="preserve">ee section </w:t>
      </w:r>
      <w:hyperlink w:anchor="_Delegation_of_claim" w:history="1">
        <w:r w:rsidR="000E187E" w:rsidRPr="000E187E">
          <w:rPr>
            <w:rStyle w:val="Hyperlink"/>
          </w:rPr>
          <w:t>2.8</w:t>
        </w:r>
      </w:hyperlink>
      <w:r w:rsidR="00BC2770" w:rsidRPr="000E187E">
        <w:t>.</w:t>
      </w:r>
    </w:p>
    <w:p w:rsidR="00B24D97" w:rsidRDefault="00B24D97" w:rsidP="00C95396">
      <w:pPr>
        <w:rPr>
          <w:rFonts w:cs="Arial"/>
        </w:rPr>
      </w:pPr>
      <w:r w:rsidRPr="00BC2770">
        <w:rPr>
          <w:rFonts w:cs="Arial"/>
        </w:rPr>
        <w:t>XCS may subsequently amend the list of Agreement Parties,</w:t>
      </w:r>
      <w:r w:rsidR="00B57D6B" w:rsidRPr="00BC2770">
        <w:rPr>
          <w:rFonts w:cs="Arial"/>
        </w:rPr>
        <w:t xml:space="preserve"> for example deferment to a 2</w:t>
      </w:r>
      <w:r w:rsidR="00B57D6B" w:rsidRPr="00BC2770">
        <w:rPr>
          <w:rFonts w:cs="Arial"/>
          <w:vertAlign w:val="superscript"/>
        </w:rPr>
        <w:t>nd</w:t>
      </w:r>
      <w:r w:rsidR="00B57D6B" w:rsidRPr="00BC2770">
        <w:rPr>
          <w:rFonts w:cs="Arial"/>
        </w:rPr>
        <w:t xml:space="preserve"> lead agreement party</w:t>
      </w:r>
      <w:r w:rsidR="00506804">
        <w:rPr>
          <w:rFonts w:cs="Arial"/>
        </w:rPr>
        <w:t>.</w:t>
      </w:r>
    </w:p>
    <w:p w:rsidR="00D15101" w:rsidRPr="00E83CC8" w:rsidRDefault="00D15101" w:rsidP="00C95396">
      <w:pPr>
        <w:rPr>
          <w:rFonts w:cs="Arial"/>
        </w:rPr>
      </w:pPr>
    </w:p>
    <w:p w:rsidR="00B24D97" w:rsidRPr="00506804" w:rsidRDefault="00B24D97" w:rsidP="0004351B">
      <w:pPr>
        <w:pStyle w:val="Heading3"/>
        <w:tabs>
          <w:tab w:val="num" w:pos="851"/>
        </w:tabs>
      </w:pPr>
      <w:bookmarkStart w:id="99" w:name="MultiAgrees"/>
      <w:bookmarkStart w:id="100" w:name="_Toc389214807"/>
      <w:bookmarkStart w:id="101" w:name="_Toc396989135"/>
      <w:bookmarkStart w:id="102" w:name="_Toc112226824"/>
      <w:bookmarkStart w:id="103" w:name="_Toc134427286"/>
      <w:bookmarkEnd w:id="99"/>
      <w:r w:rsidRPr="00506804">
        <w:lastRenderedPageBreak/>
        <w:t xml:space="preserve">Process When a Second Agreement Party (other than XCS) is </w:t>
      </w:r>
      <w:r w:rsidR="00B57D6B" w:rsidRPr="00506804">
        <w:t>i</w:t>
      </w:r>
      <w:r w:rsidRPr="00506804">
        <w:t>nvolved</w:t>
      </w:r>
      <w:bookmarkEnd w:id="100"/>
      <w:bookmarkEnd w:id="101"/>
    </w:p>
    <w:p w:rsidR="00B24D97" w:rsidRDefault="00B24D97" w:rsidP="00C95396">
      <w:pPr>
        <w:rPr>
          <w:rFonts w:cs="Arial"/>
        </w:rPr>
      </w:pPr>
      <w:r w:rsidRPr="00506804">
        <w:rPr>
          <w:rFonts w:cs="Arial"/>
        </w:rPr>
        <w:t>When a transaction contains mult</w:t>
      </w:r>
      <w:r w:rsidR="008A577E" w:rsidRPr="00506804">
        <w:rPr>
          <w:rFonts w:cs="Arial"/>
        </w:rPr>
        <w:t>iple agreement p</w:t>
      </w:r>
      <w:r w:rsidRPr="00506804">
        <w:rPr>
          <w:rFonts w:cs="Arial"/>
        </w:rPr>
        <w:t>arties</w:t>
      </w:r>
      <w:r w:rsidR="00B57D6B" w:rsidRPr="00506804">
        <w:rPr>
          <w:rFonts w:cs="Arial"/>
        </w:rPr>
        <w:t xml:space="preserve"> (either selected by the Lead, or inherited by the Lead’s selection on a previous transaction),</w:t>
      </w:r>
      <w:r w:rsidR="008A577E" w:rsidRPr="00506804">
        <w:rPr>
          <w:rFonts w:cs="Arial"/>
        </w:rPr>
        <w:t xml:space="preserve"> once the lead agreement p</w:t>
      </w:r>
      <w:r w:rsidRPr="00506804">
        <w:rPr>
          <w:rFonts w:cs="Arial"/>
        </w:rPr>
        <w:t>arty has added their respon</w:t>
      </w:r>
      <w:r w:rsidR="008A577E" w:rsidRPr="00506804">
        <w:rPr>
          <w:rFonts w:cs="Arial"/>
        </w:rPr>
        <w:t>se, it is routed to the second agreement party. Once the second a</w:t>
      </w:r>
      <w:r w:rsidRPr="00506804">
        <w:rPr>
          <w:rFonts w:cs="Arial"/>
        </w:rPr>
        <w:t xml:space="preserve">greement </w:t>
      </w:r>
      <w:r w:rsidR="008A577E" w:rsidRPr="00506804">
        <w:rPr>
          <w:rFonts w:cs="Arial"/>
        </w:rPr>
        <w:t>p</w:t>
      </w:r>
      <w:r w:rsidRPr="00506804">
        <w:rPr>
          <w:rFonts w:cs="Arial"/>
        </w:rPr>
        <w:t>arty has actioned the transaction, it is routed to XCS</w:t>
      </w:r>
      <w:r w:rsidR="008A577E" w:rsidRPr="00506804">
        <w:rPr>
          <w:rFonts w:cs="Arial"/>
        </w:rPr>
        <w:t xml:space="preserve"> TP</w:t>
      </w:r>
      <w:r w:rsidRPr="00506804">
        <w:rPr>
          <w:rFonts w:cs="Arial"/>
        </w:rPr>
        <w:t xml:space="preserve">. Note that if any Agreement Party enters a response of “Query/Return”, the next Agreement Parties </w:t>
      </w:r>
      <w:r w:rsidRPr="00506804">
        <w:rPr>
          <w:rFonts w:cs="Arial"/>
          <w:b/>
        </w:rPr>
        <w:t>must</w:t>
      </w:r>
      <w:r w:rsidRPr="00506804">
        <w:rPr>
          <w:rFonts w:cs="Arial"/>
        </w:rPr>
        <w:t xml:space="preserve"> only discuss this with the previous </w:t>
      </w:r>
      <w:r w:rsidR="008A577E" w:rsidRPr="00506804">
        <w:rPr>
          <w:rFonts w:cs="Arial"/>
        </w:rPr>
        <w:t>agreement p</w:t>
      </w:r>
      <w:r w:rsidRPr="00506804">
        <w:rPr>
          <w:rFonts w:cs="Arial"/>
        </w:rPr>
        <w:t>arties (wh</w:t>
      </w:r>
      <w:r w:rsidR="008A577E" w:rsidRPr="00506804">
        <w:rPr>
          <w:rFonts w:cs="Arial"/>
        </w:rPr>
        <w:t>ich may result in the previous agreement p</w:t>
      </w:r>
      <w:r w:rsidRPr="00506804">
        <w:rPr>
          <w:rFonts w:cs="Arial"/>
        </w:rPr>
        <w:t xml:space="preserve">arty altering their response) or enter a “Query/Return” response. </w:t>
      </w:r>
      <w:r w:rsidRPr="000E187E">
        <w:rPr>
          <w:rFonts w:cs="Arial"/>
        </w:rPr>
        <w:t xml:space="preserve">See section </w:t>
      </w:r>
      <w:hyperlink w:anchor="_Claims_Process_Involving" w:history="1">
        <w:r w:rsidR="000E187E" w:rsidRPr="000E187E">
          <w:rPr>
            <w:rStyle w:val="Hyperlink"/>
          </w:rPr>
          <w:t>2.6</w:t>
        </w:r>
      </w:hyperlink>
      <w:r w:rsidRPr="000E187E">
        <w:rPr>
          <w:rFonts w:cs="Arial"/>
        </w:rPr>
        <w:t xml:space="preserve"> for</w:t>
      </w:r>
      <w:r w:rsidRPr="00506804">
        <w:rPr>
          <w:rFonts w:cs="Arial"/>
        </w:rPr>
        <w:t xml:space="preserve"> further information.</w:t>
      </w:r>
    </w:p>
    <w:p w:rsidR="005E1479" w:rsidRPr="00D64309" w:rsidRDefault="005E1479" w:rsidP="005E1479">
      <w:pPr>
        <w:pStyle w:val="Heading4"/>
        <w:rPr>
          <w:rFonts w:cs="Arial"/>
        </w:rPr>
      </w:pPr>
      <w:bookmarkStart w:id="104" w:name="_Toc389214808"/>
      <w:r w:rsidRPr="00D64309">
        <w:rPr>
          <w:rFonts w:cs="Arial"/>
        </w:rPr>
        <w:t>Appoint Additional Agreement Parties</w:t>
      </w:r>
      <w:bookmarkEnd w:id="104"/>
    </w:p>
    <w:p w:rsidR="005E1479" w:rsidRPr="00D64309" w:rsidRDefault="005E1479" w:rsidP="005E1479">
      <w:pPr>
        <w:rPr>
          <w:rFonts w:cs="Arial"/>
        </w:rPr>
      </w:pPr>
      <w:r w:rsidRPr="00D64309">
        <w:rPr>
          <w:rFonts w:cs="Arial"/>
        </w:rPr>
        <w:t xml:space="preserve">These steps cover the addition of Agreement Parties if required. Appointment of additional </w:t>
      </w:r>
      <w:r w:rsidR="008A577E">
        <w:rPr>
          <w:rFonts w:cs="Arial"/>
        </w:rPr>
        <w:t>agreement p</w:t>
      </w:r>
      <w:r w:rsidRPr="00D64309">
        <w:rPr>
          <w:rFonts w:cs="Arial"/>
        </w:rPr>
        <w:t xml:space="preserve">arties will remain for subsequent transactions unless specifically reversed, </w:t>
      </w:r>
      <w:r w:rsidRPr="00D64309">
        <w:rPr>
          <w:rFonts w:cs="Arial"/>
          <w:b/>
        </w:rPr>
        <w:t xml:space="preserve">however if a broker submits an amended transaction, any additional </w:t>
      </w:r>
      <w:r w:rsidR="008A577E">
        <w:rPr>
          <w:rFonts w:cs="Arial"/>
          <w:b/>
        </w:rPr>
        <w:t>a</w:t>
      </w:r>
      <w:r w:rsidRPr="00D64309">
        <w:rPr>
          <w:rFonts w:cs="Arial"/>
          <w:b/>
        </w:rPr>
        <w:t xml:space="preserve">greement </w:t>
      </w:r>
      <w:r w:rsidR="008A577E">
        <w:rPr>
          <w:rFonts w:cs="Arial"/>
          <w:b/>
        </w:rPr>
        <w:t>p</w:t>
      </w:r>
      <w:r w:rsidRPr="00D64309">
        <w:rPr>
          <w:rFonts w:cs="Arial"/>
          <w:b/>
        </w:rPr>
        <w:t>arties originally added to that transaction will be lost and will need to be re-entered</w:t>
      </w:r>
      <w:r w:rsidRPr="00D64309">
        <w:rPr>
          <w:rFonts w:cs="Arial"/>
        </w:rPr>
        <w:t>.</w:t>
      </w:r>
    </w:p>
    <w:p w:rsidR="005E1479" w:rsidRDefault="008A577E" w:rsidP="005E1479">
      <w:pPr>
        <w:rPr>
          <w:rFonts w:cs="Arial"/>
        </w:rPr>
      </w:pPr>
      <w:r>
        <w:rPr>
          <w:rFonts w:cs="Arial"/>
        </w:rPr>
        <w:t>If the lead agreement party removes a second agreement p</w:t>
      </w:r>
      <w:r w:rsidR="005E1479" w:rsidRPr="00D64309">
        <w:rPr>
          <w:rFonts w:cs="Arial"/>
        </w:rPr>
        <w:t>arty from a transaction on a claim, this will enable subsequent transactions to be processed without that syndicate acting as an Agreement Party. It should be noted that the party may also have added comments (in CLASS or in a document on the IMR) unnecessarily.</w:t>
      </w:r>
    </w:p>
    <w:p w:rsidR="001E7924" w:rsidRPr="0004351B" w:rsidRDefault="001E7924" w:rsidP="0004351B">
      <w:pPr>
        <w:pStyle w:val="Heading4"/>
      </w:pPr>
      <w:bookmarkStart w:id="105" w:name="_Toc389214809"/>
      <w:r w:rsidRPr="0004351B">
        <w:t>Disagreement Between Lead and Following Agreement Parties</w:t>
      </w:r>
      <w:bookmarkEnd w:id="105"/>
      <w:r w:rsidRPr="0004351B">
        <w:t xml:space="preserve"> </w:t>
      </w:r>
    </w:p>
    <w:p w:rsidR="00506804" w:rsidRDefault="001E7924" w:rsidP="00D53B87">
      <w:pPr>
        <w:rPr>
          <w:rFonts w:cs="Arial"/>
        </w:rPr>
      </w:pPr>
      <w:r w:rsidRPr="00D53B87">
        <w:rPr>
          <w:rFonts w:cs="Arial"/>
        </w:rPr>
        <w:t xml:space="preserve">If other </w:t>
      </w:r>
      <w:r w:rsidR="008A577E" w:rsidRPr="00D53B87">
        <w:rPr>
          <w:rFonts w:cs="Arial"/>
        </w:rPr>
        <w:t>a</w:t>
      </w:r>
      <w:r w:rsidRPr="00D53B87">
        <w:rPr>
          <w:rFonts w:cs="Arial"/>
        </w:rPr>
        <w:t>greemen</w:t>
      </w:r>
      <w:r w:rsidR="008A577E" w:rsidRPr="00D53B87">
        <w:rPr>
          <w:rFonts w:cs="Arial"/>
        </w:rPr>
        <w:t>t p</w:t>
      </w:r>
      <w:r w:rsidRPr="00D53B87">
        <w:rPr>
          <w:rFonts w:cs="Arial"/>
        </w:rPr>
        <w:t xml:space="preserve">arties disagree with the actions or instructions of the </w:t>
      </w:r>
      <w:r w:rsidR="008A577E" w:rsidRPr="00D53B87">
        <w:rPr>
          <w:rFonts w:cs="Arial"/>
        </w:rPr>
        <w:t>lead a</w:t>
      </w:r>
      <w:r w:rsidRPr="00D53B87">
        <w:rPr>
          <w:rFonts w:cs="Arial"/>
        </w:rPr>
        <w:t xml:space="preserve">greement Party, they should first contact the </w:t>
      </w:r>
      <w:r w:rsidR="008A577E" w:rsidRPr="00D53B87">
        <w:rPr>
          <w:rFonts w:cs="Arial"/>
        </w:rPr>
        <w:t>l</w:t>
      </w:r>
      <w:r w:rsidRPr="00D53B87">
        <w:rPr>
          <w:rFonts w:cs="Arial"/>
        </w:rPr>
        <w:t xml:space="preserve">ead </w:t>
      </w:r>
      <w:r w:rsidR="008A577E" w:rsidRPr="00D53B87">
        <w:rPr>
          <w:rFonts w:cs="Arial"/>
        </w:rPr>
        <w:t>agreement p</w:t>
      </w:r>
      <w:r w:rsidRPr="00D53B87">
        <w:rPr>
          <w:rFonts w:cs="Arial"/>
        </w:rPr>
        <w:t>arty to discuss</w:t>
      </w:r>
      <w:r w:rsidR="00E83CC8" w:rsidRPr="00D53B87">
        <w:rPr>
          <w:rFonts w:cs="Arial"/>
        </w:rPr>
        <w:t xml:space="preserve"> as per 2010 Claim scheme rules.</w:t>
      </w:r>
      <w:r w:rsidRPr="00D53B87">
        <w:rPr>
          <w:rFonts w:cs="Arial"/>
        </w:rPr>
        <w:t xml:space="preserve"> If they are ultimately unable to reach a consensus, they will have to contact the broker and request that the file be removed from ECF and be handled as a paper file.</w:t>
      </w:r>
    </w:p>
    <w:p w:rsidR="00506804" w:rsidRDefault="001E7924" w:rsidP="00506804">
      <w:pPr>
        <w:rPr>
          <w:rFonts w:cs="Arial"/>
        </w:rPr>
      </w:pPr>
      <w:r w:rsidRPr="00D53B87">
        <w:t xml:space="preserve">Where </w:t>
      </w:r>
      <w:r w:rsidR="00506804">
        <w:t>there are claim h</w:t>
      </w:r>
      <w:r w:rsidR="00D53B87" w:rsidRPr="00D53B87">
        <w:t xml:space="preserve">andling </w:t>
      </w:r>
      <w:r w:rsidR="00506804">
        <w:t>i</w:t>
      </w:r>
      <w:r w:rsidR="00D53B87" w:rsidRPr="00D53B87">
        <w:t>ssues</w:t>
      </w:r>
      <w:r w:rsidR="00506804">
        <w:t xml:space="preserve"> </w:t>
      </w:r>
      <w:r w:rsidRPr="00D53B87">
        <w:rPr>
          <w:rFonts w:cs="Arial"/>
        </w:rPr>
        <w:t>XCS responses in matters where it has an issue with the claims handling (e.</w:t>
      </w:r>
      <w:r w:rsidR="00506804">
        <w:rPr>
          <w:rFonts w:cs="Arial"/>
        </w:rPr>
        <w:t>g. requires further information)</w:t>
      </w:r>
      <w:r w:rsidRPr="00D53B87">
        <w:rPr>
          <w:rFonts w:cs="Arial"/>
        </w:rPr>
        <w:t xml:space="preserve"> will follow the below processes:</w:t>
      </w:r>
    </w:p>
    <w:p w:rsidR="001E7924" w:rsidRPr="00506804" w:rsidRDefault="001E7924" w:rsidP="00506804">
      <w:pPr>
        <w:pStyle w:val="ListParagraph"/>
        <w:numPr>
          <w:ilvl w:val="0"/>
          <w:numId w:val="126"/>
        </w:numPr>
        <w:rPr>
          <w:rFonts w:ascii="Arial" w:hAnsi="Arial" w:cs="Arial"/>
          <w:sz w:val="20"/>
          <w:szCs w:val="20"/>
        </w:rPr>
      </w:pPr>
      <w:r w:rsidRPr="00506804">
        <w:rPr>
          <w:rFonts w:ascii="Arial" w:hAnsi="Arial" w:cs="Arial"/>
          <w:sz w:val="20"/>
          <w:szCs w:val="20"/>
        </w:rPr>
        <w:t xml:space="preserve">XCS will enter a response of “Seen/Action” and will add narrative to the Public comments field with its queries. Depending on the nature of these queries, XCS adjusters </w:t>
      </w:r>
      <w:r w:rsidRPr="00506804">
        <w:rPr>
          <w:rFonts w:ascii="Arial" w:hAnsi="Arial" w:cs="Arial"/>
          <w:b/>
          <w:sz w:val="20"/>
          <w:szCs w:val="20"/>
        </w:rPr>
        <w:t>must</w:t>
      </w:r>
      <w:r w:rsidRPr="00506804">
        <w:rPr>
          <w:rFonts w:ascii="Arial" w:hAnsi="Arial" w:cs="Arial"/>
          <w:sz w:val="20"/>
          <w:szCs w:val="20"/>
        </w:rPr>
        <w:t xml:space="preserve"> make best endeavours to contact the Lead Agreement Party </w:t>
      </w:r>
      <w:r w:rsidRPr="00506804">
        <w:rPr>
          <w:rFonts w:ascii="Arial" w:hAnsi="Arial" w:cs="Arial"/>
          <w:b/>
          <w:sz w:val="20"/>
          <w:szCs w:val="20"/>
        </w:rPr>
        <w:t>before</w:t>
      </w:r>
      <w:r w:rsidRPr="00506804">
        <w:rPr>
          <w:rFonts w:ascii="Arial" w:hAnsi="Arial" w:cs="Arial"/>
          <w:sz w:val="20"/>
          <w:szCs w:val="20"/>
        </w:rPr>
        <w:t xml:space="preserve"> actioning the claim. When the Lead Agreement Party cannot be contacted, XCS will use their discretion as to whether to action the claim</w:t>
      </w:r>
      <w:r w:rsidR="002E3FC7">
        <w:rPr>
          <w:rFonts w:ascii="Arial" w:hAnsi="Arial" w:cs="Arial"/>
          <w:sz w:val="20"/>
          <w:szCs w:val="20"/>
        </w:rPr>
        <w:t>.</w:t>
      </w:r>
    </w:p>
    <w:p w:rsidR="0010143D" w:rsidRPr="00D53B87" w:rsidRDefault="0010143D" w:rsidP="00AE12D8">
      <w:pPr>
        <w:pStyle w:val="Heading3"/>
      </w:pPr>
      <w:bookmarkStart w:id="106" w:name="_Toc389214810"/>
      <w:bookmarkStart w:id="107" w:name="_Toc396989136"/>
      <w:r w:rsidRPr="00D53B87">
        <w:t>Claims Transformation Programme indicators</w:t>
      </w:r>
      <w:bookmarkEnd w:id="106"/>
      <w:bookmarkEnd w:id="107"/>
    </w:p>
    <w:p w:rsidR="0010143D" w:rsidRPr="00D64309" w:rsidRDefault="0010143D" w:rsidP="0010143D">
      <w:pPr>
        <w:rPr>
          <w:rFonts w:cs="Arial"/>
        </w:rPr>
      </w:pPr>
      <w:r w:rsidRPr="00E83CC8">
        <w:rPr>
          <w:rFonts w:cs="Arial"/>
        </w:rPr>
        <w:t xml:space="preserve">From 2010 certain claims fall in scope of the 2010 Claims Scheme (i.e. CTP), which introduces greater flexibility around the claims agreement party roles. For full details of scope and process guidance please refer to the Lloyd’s Claims Scheme (Combined), which holds both the 2006 and 2010 Claims Schemes, and the “CTP: Process Guidelines” documents, </w:t>
      </w:r>
      <w:r w:rsidR="00506804">
        <w:rPr>
          <w:rFonts w:cs="Arial"/>
        </w:rPr>
        <w:t xml:space="preserve">available via lloyds.com </w:t>
      </w:r>
      <w:hyperlink r:id="rId14" w:history="1">
        <w:r w:rsidR="00506804" w:rsidRPr="00506804">
          <w:rPr>
            <w:rStyle w:val="Hyperlink"/>
            <w:rFonts w:cs="Arial"/>
          </w:rPr>
          <w:t>http://www.lloyds.com/the-market/operating-at-lloyds/claims-at-lloyds/claims-transformation-programme</w:t>
        </w:r>
      </w:hyperlink>
    </w:p>
    <w:p w:rsidR="0010143D" w:rsidRPr="00D53B87" w:rsidRDefault="0010143D" w:rsidP="0010143D">
      <w:pPr>
        <w:rPr>
          <w:rFonts w:cs="Arial"/>
        </w:rPr>
      </w:pPr>
      <w:r w:rsidRPr="00D53B87">
        <w:rPr>
          <w:rFonts w:cs="Arial"/>
        </w:rPr>
        <w:t>Two indicators are displayed on the Market Response Details screen:</w:t>
      </w:r>
    </w:p>
    <w:p w:rsidR="0010143D" w:rsidRPr="00D53B87" w:rsidRDefault="0010143D" w:rsidP="0010143D">
      <w:pPr>
        <w:numPr>
          <w:ilvl w:val="0"/>
          <w:numId w:val="54"/>
        </w:numPr>
        <w:spacing w:after="0"/>
        <w:rPr>
          <w:rFonts w:cs="Arial"/>
        </w:rPr>
      </w:pPr>
      <w:r w:rsidRPr="00D53B87">
        <w:rPr>
          <w:rFonts w:cs="Arial"/>
        </w:rPr>
        <w:t>“Claims Scheme” – to denote whether a claim falls under the 2010 Claims Scheme</w:t>
      </w:r>
    </w:p>
    <w:p w:rsidR="0010143D" w:rsidRPr="00D53B87" w:rsidRDefault="0010143D" w:rsidP="0010143D">
      <w:pPr>
        <w:numPr>
          <w:ilvl w:val="0"/>
          <w:numId w:val="54"/>
        </w:numPr>
        <w:spacing w:after="0"/>
        <w:rPr>
          <w:rFonts w:cs="Arial"/>
        </w:rPr>
      </w:pPr>
      <w:r w:rsidRPr="00D53B87">
        <w:rPr>
          <w:rFonts w:cs="Arial"/>
        </w:rPr>
        <w:t>“Triage Category” – to denote into which category the claim falls, and therefore which agreement parties are applicable</w:t>
      </w:r>
    </w:p>
    <w:p w:rsidR="0010143D" w:rsidRPr="00275F2D" w:rsidRDefault="00144EAB" w:rsidP="00AE12D8">
      <w:pPr>
        <w:pStyle w:val="Heading3"/>
        <w:rPr>
          <w:b w:val="0"/>
        </w:rPr>
      </w:pPr>
      <w:bookmarkStart w:id="108" w:name="_Toc389214811"/>
      <w:bookmarkStart w:id="109" w:name="_Toc396989137"/>
      <w:r w:rsidRPr="00275F2D">
        <w:rPr>
          <w:rStyle w:val="Heading5Char"/>
          <w:b/>
        </w:rPr>
        <w:t>Claims Scheme I</w:t>
      </w:r>
      <w:r w:rsidR="0010143D" w:rsidRPr="00275F2D">
        <w:rPr>
          <w:rStyle w:val="Heading5Char"/>
          <w:b/>
        </w:rPr>
        <w:t>ndicator</w:t>
      </w:r>
      <w:bookmarkEnd w:id="108"/>
      <w:bookmarkEnd w:id="109"/>
    </w:p>
    <w:p w:rsidR="0010143D" w:rsidRPr="00D53B87" w:rsidRDefault="0010143D" w:rsidP="0010143D">
      <w:pPr>
        <w:rPr>
          <w:rFonts w:cs="Arial"/>
        </w:rPr>
      </w:pPr>
      <w:r w:rsidRPr="00D53B87">
        <w:rPr>
          <w:rFonts w:cs="Arial"/>
        </w:rPr>
        <w:t xml:space="preserve">This drop-down will default dependant on the combination of the Year of Account and the Risk Code applicable to the claim. If the Year of Account and Risk Code do not fall in scope of CTP, the indicator will default to “2006 and prior”. If the Year of Account and Risk Code are </w:t>
      </w:r>
      <w:r w:rsidRPr="00D53B87">
        <w:rPr>
          <w:rFonts w:cs="Arial"/>
          <w:i/>
        </w:rPr>
        <w:t>potentially</w:t>
      </w:r>
      <w:r w:rsidRPr="00D53B87">
        <w:rPr>
          <w:rFonts w:cs="Arial"/>
        </w:rPr>
        <w:t xml:space="preserve"> in scope of CTP (please refer to the 2010 Claims Scheme for scope details), the indicator will default to “2010” on first advice. </w:t>
      </w:r>
    </w:p>
    <w:p w:rsidR="0010143D" w:rsidRPr="00D53B87" w:rsidRDefault="0010143D" w:rsidP="0010143D">
      <w:pPr>
        <w:rPr>
          <w:rFonts w:cs="Arial"/>
        </w:rPr>
      </w:pPr>
      <w:r w:rsidRPr="00D53B87">
        <w:rPr>
          <w:rFonts w:cs="Arial"/>
        </w:rPr>
        <w:lastRenderedPageBreak/>
        <w:t>For all first advices where “2010” has been set a warning message will be displayed to alert the user that Singletons are out of scope and to check the Claims Scheme for the rules for Binders.</w:t>
      </w:r>
    </w:p>
    <w:p w:rsidR="0010143D" w:rsidRPr="00D53B87" w:rsidRDefault="0010143D" w:rsidP="0010143D">
      <w:pPr>
        <w:rPr>
          <w:rFonts w:cs="Arial"/>
        </w:rPr>
      </w:pPr>
      <w:r w:rsidRPr="00D53B87">
        <w:rPr>
          <w:rFonts w:cs="Arial"/>
        </w:rPr>
        <w:t xml:space="preserve">For subsequent transactions the value set on the previous transaction will be displayed as the default. </w:t>
      </w:r>
    </w:p>
    <w:p w:rsidR="0010143D" w:rsidRPr="00D64309" w:rsidRDefault="0010143D" w:rsidP="0010143D">
      <w:pPr>
        <w:rPr>
          <w:rFonts w:cs="Arial"/>
        </w:rPr>
      </w:pPr>
      <w:r w:rsidRPr="00D53B87">
        <w:rPr>
          <w:rFonts w:cs="Arial"/>
        </w:rPr>
        <w:t xml:space="preserve">Please note that only the Lead may set this indicator and it cannot be amended </w:t>
      </w:r>
      <w:r w:rsidRPr="00D53B87">
        <w:rPr>
          <w:rFonts w:cs="Arial"/>
          <w:i/>
        </w:rPr>
        <w:t>on that transaction</w:t>
      </w:r>
      <w:r w:rsidRPr="00D53B87">
        <w:rPr>
          <w:rFonts w:cs="Arial"/>
        </w:rPr>
        <w:t xml:space="preserve"> if the Lead has responded to the transaction with “Seen / Action” or “Agree Pay” response.</w:t>
      </w:r>
    </w:p>
    <w:p w:rsidR="0010143D" w:rsidRPr="00275F2D" w:rsidRDefault="0010143D" w:rsidP="00144EAB">
      <w:pPr>
        <w:pStyle w:val="Heading3"/>
        <w:rPr>
          <w:b w:val="0"/>
        </w:rPr>
      </w:pPr>
      <w:bookmarkStart w:id="110" w:name="_Toc389214812"/>
      <w:bookmarkStart w:id="111" w:name="_Toc396989138"/>
      <w:r w:rsidRPr="00275F2D">
        <w:rPr>
          <w:rStyle w:val="Heading5Char"/>
          <w:b/>
        </w:rPr>
        <w:t xml:space="preserve">Triage Category </w:t>
      </w:r>
      <w:r w:rsidR="00144EAB" w:rsidRPr="00275F2D">
        <w:rPr>
          <w:rStyle w:val="Heading5Char"/>
          <w:b/>
        </w:rPr>
        <w:t>I</w:t>
      </w:r>
      <w:r w:rsidRPr="00275F2D">
        <w:rPr>
          <w:rStyle w:val="Heading5Char"/>
          <w:b/>
        </w:rPr>
        <w:t>ndicator</w:t>
      </w:r>
      <w:bookmarkEnd w:id="110"/>
      <w:bookmarkEnd w:id="111"/>
    </w:p>
    <w:p w:rsidR="0010143D" w:rsidRPr="00D53B87" w:rsidRDefault="002E3FC7" w:rsidP="0010143D">
      <w:pPr>
        <w:rPr>
          <w:rFonts w:cs="Arial"/>
        </w:rPr>
      </w:pPr>
      <w:r>
        <w:rPr>
          <w:rFonts w:cs="Arial"/>
        </w:rPr>
        <w:t>T</w:t>
      </w:r>
      <w:r w:rsidR="0010143D" w:rsidRPr="00D53B87">
        <w:rPr>
          <w:rFonts w:cs="Arial"/>
        </w:rPr>
        <w:t xml:space="preserve">he values available within </w:t>
      </w:r>
      <w:r w:rsidR="00E83CC8" w:rsidRPr="00D53B87">
        <w:rPr>
          <w:rFonts w:cs="Arial"/>
        </w:rPr>
        <w:t>this indicator</w:t>
      </w:r>
      <w:r w:rsidR="00D53B87">
        <w:rPr>
          <w:rFonts w:cs="Arial"/>
        </w:rPr>
        <w:t xml:space="preserve"> </w:t>
      </w:r>
      <w:r w:rsidR="0010143D" w:rsidRPr="00D53B87">
        <w:rPr>
          <w:rFonts w:cs="Arial"/>
        </w:rPr>
        <w:t>are dependant on the value set in the “Claims Scheme” indicator above.</w:t>
      </w:r>
    </w:p>
    <w:p w:rsidR="0010143D" w:rsidRPr="00D53B87" w:rsidRDefault="0010143D" w:rsidP="0010143D">
      <w:pPr>
        <w:spacing w:after="0"/>
        <w:rPr>
          <w:rFonts w:cs="Arial"/>
        </w:rPr>
      </w:pPr>
      <w:r w:rsidRPr="00D53B87">
        <w:rPr>
          <w:rFonts w:cs="Arial"/>
        </w:rPr>
        <w:t>If “2006 and prior” is set in the</w:t>
      </w:r>
      <w:r w:rsidR="00D53B87">
        <w:rPr>
          <w:rFonts w:cs="Arial"/>
        </w:rPr>
        <w:t xml:space="preserve"> </w:t>
      </w:r>
      <w:r w:rsidR="002E3FC7">
        <w:rPr>
          <w:rFonts w:cs="Arial"/>
        </w:rPr>
        <w:t>“</w:t>
      </w:r>
      <w:r w:rsidRPr="00D53B87">
        <w:rPr>
          <w:rFonts w:cs="Arial"/>
        </w:rPr>
        <w:t>Claims Scheme” indicator, the options available in “Triage Category” are:</w:t>
      </w:r>
    </w:p>
    <w:p w:rsidR="0010143D" w:rsidRPr="00D53B87" w:rsidRDefault="0010143D" w:rsidP="0010143D">
      <w:pPr>
        <w:numPr>
          <w:ilvl w:val="0"/>
          <w:numId w:val="55"/>
        </w:numPr>
        <w:spacing w:after="0"/>
        <w:rPr>
          <w:rFonts w:cs="Arial"/>
        </w:rPr>
      </w:pPr>
      <w:r w:rsidRPr="00D53B87">
        <w:rPr>
          <w:rFonts w:cs="Arial"/>
        </w:rPr>
        <w:t>Not Specified</w:t>
      </w:r>
    </w:p>
    <w:p w:rsidR="0010143D" w:rsidRPr="00D53B87" w:rsidRDefault="0010143D" w:rsidP="0010143D">
      <w:pPr>
        <w:numPr>
          <w:ilvl w:val="0"/>
          <w:numId w:val="55"/>
        </w:numPr>
        <w:spacing w:after="0"/>
        <w:rPr>
          <w:rFonts w:cs="Arial"/>
        </w:rPr>
      </w:pPr>
      <w:r w:rsidRPr="00D53B87">
        <w:rPr>
          <w:rFonts w:cs="Arial"/>
        </w:rPr>
        <w:t>Standard</w:t>
      </w:r>
    </w:p>
    <w:p w:rsidR="0010143D" w:rsidRPr="00D53B87" w:rsidRDefault="0010143D" w:rsidP="0010143D">
      <w:pPr>
        <w:numPr>
          <w:ilvl w:val="0"/>
          <w:numId w:val="55"/>
        </w:numPr>
        <w:spacing w:after="0"/>
        <w:rPr>
          <w:rFonts w:cs="Arial"/>
        </w:rPr>
      </w:pPr>
      <w:r w:rsidRPr="00D53B87">
        <w:rPr>
          <w:rFonts w:cs="Arial"/>
        </w:rPr>
        <w:t>Complex</w:t>
      </w:r>
    </w:p>
    <w:p w:rsidR="0010143D" w:rsidRDefault="0010143D" w:rsidP="00506804">
      <w:pPr>
        <w:numPr>
          <w:ilvl w:val="0"/>
          <w:numId w:val="55"/>
        </w:numPr>
        <w:spacing w:after="0"/>
        <w:rPr>
          <w:rFonts w:cs="Arial"/>
        </w:rPr>
      </w:pPr>
      <w:r w:rsidRPr="00D53B87">
        <w:rPr>
          <w:rFonts w:cs="Arial"/>
        </w:rPr>
        <w:t>VCS XCS</w:t>
      </w:r>
    </w:p>
    <w:p w:rsidR="00506804" w:rsidRPr="00506804" w:rsidRDefault="00506804" w:rsidP="00506804">
      <w:pPr>
        <w:numPr>
          <w:ilvl w:val="0"/>
          <w:numId w:val="55"/>
        </w:numPr>
        <w:spacing w:after="0"/>
        <w:rPr>
          <w:rFonts w:cs="Arial"/>
        </w:rPr>
      </w:pPr>
      <w:r w:rsidRPr="00506804">
        <w:rPr>
          <w:rFonts w:cs="Arial"/>
        </w:rPr>
        <w:t>VCS Crawford</w:t>
      </w:r>
    </w:p>
    <w:p w:rsidR="0010143D" w:rsidRPr="00D53B87" w:rsidRDefault="0010143D" w:rsidP="0010143D">
      <w:pPr>
        <w:spacing w:after="0"/>
        <w:ind w:left="720"/>
        <w:rPr>
          <w:rFonts w:cs="Arial"/>
        </w:rPr>
      </w:pPr>
    </w:p>
    <w:p w:rsidR="00E83CC8" w:rsidRPr="00D53B87" w:rsidRDefault="0010143D" w:rsidP="0010143D">
      <w:pPr>
        <w:spacing w:after="0"/>
        <w:rPr>
          <w:rFonts w:cs="Arial"/>
        </w:rPr>
      </w:pPr>
      <w:r w:rsidRPr="00D53B87">
        <w:rPr>
          <w:rFonts w:cs="Arial"/>
        </w:rPr>
        <w:t>The default value on a first advice will be “Not Specified”. Carriers may elect to specify a Segmentation value, which assists with the claims process an</w:t>
      </w:r>
      <w:r w:rsidR="002E3FC7">
        <w:rPr>
          <w:rFonts w:cs="Arial"/>
        </w:rPr>
        <w:t xml:space="preserve">d ensures Leader's input to the </w:t>
      </w:r>
      <w:r w:rsidRPr="00D53B87">
        <w:rPr>
          <w:rFonts w:cs="Arial"/>
        </w:rPr>
        <w:t>segmentation categorisation.</w:t>
      </w:r>
      <w:r w:rsidR="00E83CC8" w:rsidRPr="00D53B87">
        <w:rPr>
          <w:rFonts w:cs="Arial"/>
        </w:rPr>
        <w:t xml:space="preserve"> </w:t>
      </w:r>
    </w:p>
    <w:p w:rsidR="00E83CC8" w:rsidRPr="00D53B87" w:rsidRDefault="00E83CC8" w:rsidP="0010143D">
      <w:pPr>
        <w:spacing w:after="0"/>
        <w:rPr>
          <w:rFonts w:cs="Arial"/>
        </w:rPr>
      </w:pPr>
    </w:p>
    <w:p w:rsidR="0010143D" w:rsidRPr="00D53B87" w:rsidRDefault="0010143D" w:rsidP="0010143D">
      <w:pPr>
        <w:spacing w:after="0"/>
        <w:rPr>
          <w:rFonts w:cs="Arial"/>
        </w:rPr>
      </w:pPr>
      <w:r w:rsidRPr="00D53B87">
        <w:rPr>
          <w:rFonts w:cs="Arial"/>
        </w:rPr>
        <w:t>For “2010” claims, the values available are:</w:t>
      </w:r>
    </w:p>
    <w:p w:rsidR="0010143D" w:rsidRPr="00D53B87" w:rsidRDefault="0010143D" w:rsidP="0010143D">
      <w:pPr>
        <w:numPr>
          <w:ilvl w:val="0"/>
          <w:numId w:val="56"/>
        </w:numPr>
        <w:spacing w:after="0"/>
        <w:rPr>
          <w:rFonts w:cs="Arial"/>
        </w:rPr>
      </w:pPr>
      <w:r w:rsidRPr="00D53B87">
        <w:rPr>
          <w:rFonts w:cs="Arial"/>
        </w:rPr>
        <w:t>{Blank}</w:t>
      </w:r>
    </w:p>
    <w:p w:rsidR="0010143D" w:rsidRPr="00D53B87" w:rsidRDefault="0010143D" w:rsidP="0010143D">
      <w:pPr>
        <w:numPr>
          <w:ilvl w:val="0"/>
          <w:numId w:val="56"/>
        </w:numPr>
        <w:spacing w:after="0"/>
        <w:rPr>
          <w:rFonts w:cs="Arial"/>
        </w:rPr>
      </w:pPr>
      <w:r w:rsidRPr="00D53B87">
        <w:rPr>
          <w:rFonts w:cs="Arial"/>
        </w:rPr>
        <w:t>CTP-Standard</w:t>
      </w:r>
    </w:p>
    <w:p w:rsidR="0010143D" w:rsidRPr="00D53B87" w:rsidRDefault="0010143D" w:rsidP="0010143D">
      <w:pPr>
        <w:numPr>
          <w:ilvl w:val="0"/>
          <w:numId w:val="56"/>
        </w:numPr>
        <w:spacing w:after="0"/>
        <w:rPr>
          <w:rFonts w:cs="Arial"/>
        </w:rPr>
      </w:pPr>
      <w:r w:rsidRPr="00D53B87">
        <w:rPr>
          <w:rFonts w:cs="Arial"/>
        </w:rPr>
        <w:t>CTP-Complex</w:t>
      </w:r>
    </w:p>
    <w:p w:rsidR="0010143D" w:rsidRPr="00D53B87" w:rsidRDefault="0010143D" w:rsidP="0010143D">
      <w:pPr>
        <w:numPr>
          <w:ilvl w:val="0"/>
          <w:numId w:val="56"/>
        </w:numPr>
        <w:spacing w:after="0"/>
        <w:rPr>
          <w:rFonts w:cs="Arial"/>
        </w:rPr>
      </w:pPr>
      <w:r w:rsidRPr="00D53B87">
        <w:rPr>
          <w:rFonts w:cs="Arial"/>
        </w:rPr>
        <w:t>VCS XCS</w:t>
      </w:r>
    </w:p>
    <w:p w:rsidR="0010143D" w:rsidRPr="00D53B87" w:rsidRDefault="0010143D" w:rsidP="0010143D">
      <w:pPr>
        <w:numPr>
          <w:ilvl w:val="0"/>
          <w:numId w:val="56"/>
        </w:numPr>
        <w:spacing w:after="0"/>
        <w:rPr>
          <w:rFonts w:cs="Arial"/>
        </w:rPr>
      </w:pPr>
      <w:r w:rsidRPr="00D53B87">
        <w:rPr>
          <w:rFonts w:cs="Arial"/>
        </w:rPr>
        <w:t>VCS Crawford</w:t>
      </w:r>
    </w:p>
    <w:p w:rsidR="0010143D" w:rsidRPr="00D53B87" w:rsidRDefault="0010143D" w:rsidP="0010143D">
      <w:pPr>
        <w:spacing w:after="0"/>
        <w:ind w:left="720"/>
        <w:rPr>
          <w:rFonts w:cs="Arial"/>
        </w:rPr>
      </w:pPr>
    </w:p>
    <w:p w:rsidR="0010143D" w:rsidRPr="00D53B87" w:rsidRDefault="0010143D" w:rsidP="0010143D">
      <w:pPr>
        <w:rPr>
          <w:rFonts w:cs="Arial"/>
        </w:rPr>
      </w:pPr>
      <w:r w:rsidRPr="00D53B87">
        <w:rPr>
          <w:rFonts w:cs="Arial"/>
        </w:rPr>
        <w:t>There is no default value on a first advice (the field will display as blank) and the completion of this field for “2010” claims is mandatory (users will receive an error message if they try to enter their response via the “Submit” button with the field still displaying as blank).</w:t>
      </w:r>
    </w:p>
    <w:p w:rsidR="0010143D" w:rsidRPr="00D53B87" w:rsidRDefault="0010143D" w:rsidP="0010143D">
      <w:pPr>
        <w:rPr>
          <w:rFonts w:cs="Arial"/>
        </w:rPr>
      </w:pPr>
      <w:r w:rsidRPr="00D53B87">
        <w:rPr>
          <w:rFonts w:cs="Arial"/>
        </w:rPr>
        <w:t xml:space="preserve">If the “CTP-Complex” option is selected the user </w:t>
      </w:r>
      <w:r w:rsidRPr="00D53B87">
        <w:rPr>
          <w:rFonts w:cs="Arial"/>
          <w:b/>
        </w:rPr>
        <w:t>must</w:t>
      </w:r>
      <w:r w:rsidRPr="00D53B87">
        <w:rPr>
          <w:rFonts w:cs="Arial"/>
        </w:rPr>
        <w:t xml:space="preserve"> tick a Second Agreement Party from the “Agreement Parties” section of the</w:t>
      </w:r>
      <w:r w:rsidR="00D53B87" w:rsidRPr="00D53B87">
        <w:rPr>
          <w:rFonts w:cs="Arial"/>
        </w:rPr>
        <w:t xml:space="preserve"> Market Response Details screen</w:t>
      </w:r>
      <w:r w:rsidR="00775FF2">
        <w:rPr>
          <w:rFonts w:cs="Arial"/>
        </w:rPr>
        <w:t xml:space="preserve"> i</w:t>
      </w:r>
      <w:r w:rsidRPr="00D53B87">
        <w:rPr>
          <w:rFonts w:cs="Arial"/>
        </w:rPr>
        <w:t xml:space="preserve">f they do not, a warning message will be displayed on the first advice alerting them to do so. </w:t>
      </w:r>
    </w:p>
    <w:p w:rsidR="0010143D" w:rsidRPr="00D53B87" w:rsidRDefault="0010143D" w:rsidP="0010143D">
      <w:pPr>
        <w:rPr>
          <w:rFonts w:cs="Arial"/>
        </w:rPr>
      </w:pPr>
      <w:r w:rsidRPr="00D53B87">
        <w:rPr>
          <w:rFonts w:cs="Arial"/>
        </w:rPr>
        <w:t xml:space="preserve">For all subsequent transactions the value set on the previous transaction will be displayed as the default, however the Lead may amend the Triage Category on each new transaction. </w:t>
      </w:r>
    </w:p>
    <w:p w:rsidR="0010143D" w:rsidRPr="00D53B87" w:rsidRDefault="004C3649" w:rsidP="0010143D">
      <w:pPr>
        <w:rPr>
          <w:rFonts w:cs="Arial"/>
        </w:rPr>
      </w:pPr>
      <w:r w:rsidRPr="004C3649">
        <w:rPr>
          <w:rFonts w:cs="Arial"/>
        </w:rPr>
        <w:t xml:space="preserve">Please note that the warning around adding a Second Lead will only be displayed on a first advice – if the claim is reassigned from Standard to Complex on a subsequent transaction, it will not be displayed but the user </w:t>
      </w:r>
      <w:r w:rsidRPr="004C3649">
        <w:rPr>
          <w:rFonts w:cs="Arial"/>
          <w:b/>
        </w:rPr>
        <w:t>must</w:t>
      </w:r>
      <w:r w:rsidRPr="004C3649">
        <w:rPr>
          <w:rFonts w:cs="Arial"/>
        </w:rPr>
        <w:t xml:space="preserve"> again set the Second Lead.</w:t>
      </w:r>
    </w:p>
    <w:p w:rsidR="0010143D" w:rsidRPr="00D53B87" w:rsidRDefault="004C3649" w:rsidP="0010143D">
      <w:pPr>
        <w:rPr>
          <w:rFonts w:cs="Arial"/>
        </w:rPr>
      </w:pPr>
      <w:r w:rsidRPr="004C3649">
        <w:rPr>
          <w:rFonts w:cs="Arial"/>
        </w:rPr>
        <w:t xml:space="preserve">Similarly, if a </w:t>
      </w:r>
      <w:r w:rsidR="002E3FC7">
        <w:rPr>
          <w:rFonts w:cs="Arial"/>
        </w:rPr>
        <w:t xml:space="preserve">CTP claim is down-graded from </w:t>
      </w:r>
      <w:r w:rsidRPr="004C3649">
        <w:rPr>
          <w:rFonts w:cs="Arial"/>
        </w:rPr>
        <w:t xml:space="preserve">Complex to Standard then the Second Lead must be de-selected, with supporting evidence from the Second that they have also agreed to re-assign (see the CTP Guidelines for details </w:t>
      </w:r>
      <w:hyperlink r:id="rId15" w:history="1">
        <w:r w:rsidR="002E3FC7" w:rsidRPr="00506804">
          <w:rPr>
            <w:rStyle w:val="Hyperlink"/>
            <w:rFonts w:cs="Arial"/>
          </w:rPr>
          <w:t>http://www.lloyds.com/the-market/operating-at-lloyds/claims-at-lloyds/claims-transformation-programme</w:t>
        </w:r>
      </w:hyperlink>
      <w:r w:rsidRPr="004C3649">
        <w:rPr>
          <w:rFonts w:cs="Arial"/>
        </w:rPr>
        <w:t>.</w:t>
      </w:r>
    </w:p>
    <w:p w:rsidR="0010143D" w:rsidRDefault="0010143D" w:rsidP="0010143D">
      <w:pPr>
        <w:rPr>
          <w:rFonts w:cs="Arial"/>
        </w:rPr>
      </w:pPr>
      <w:r w:rsidRPr="00D53B87">
        <w:rPr>
          <w:rFonts w:cs="Arial"/>
        </w:rPr>
        <w:t xml:space="preserve">Please note that only the Lead may set this indicator and it cannot be amended </w:t>
      </w:r>
      <w:r w:rsidRPr="00D53B87">
        <w:rPr>
          <w:rFonts w:cs="Arial"/>
          <w:i/>
        </w:rPr>
        <w:t>on that transaction</w:t>
      </w:r>
      <w:r w:rsidRPr="00D53B87">
        <w:rPr>
          <w:rFonts w:cs="Arial"/>
        </w:rPr>
        <w:t xml:space="preserve"> if the Lead has responded to the transaction with a “Seen / Action” or “Agree Pay” response.</w:t>
      </w:r>
    </w:p>
    <w:p w:rsidR="002E3FC7" w:rsidRDefault="002E3FC7" w:rsidP="0010143D">
      <w:pPr>
        <w:rPr>
          <w:rFonts w:cs="Arial"/>
        </w:rPr>
      </w:pPr>
    </w:p>
    <w:p w:rsidR="00D15101" w:rsidRDefault="00D15101" w:rsidP="0010143D">
      <w:pPr>
        <w:rPr>
          <w:rFonts w:cs="Arial"/>
        </w:rPr>
      </w:pPr>
    </w:p>
    <w:p w:rsidR="008A577E" w:rsidRDefault="008A577E" w:rsidP="00144EAB">
      <w:pPr>
        <w:pStyle w:val="Heading3"/>
      </w:pPr>
      <w:bookmarkStart w:id="112" w:name="_Toc389214813"/>
      <w:bookmarkStart w:id="113" w:name="_Toc396989139"/>
      <w:r w:rsidRPr="005B2FBB">
        <w:lastRenderedPageBreak/>
        <w:t>Market Response Screen (adding additional Agreement Parties)</w:t>
      </w:r>
      <w:bookmarkEnd w:id="112"/>
      <w:bookmarkEnd w:id="113"/>
      <w:r>
        <w:t xml:space="preserve"> </w:t>
      </w:r>
    </w:p>
    <w:p w:rsidR="006944C0" w:rsidRDefault="006944C0" w:rsidP="006944C0">
      <w:r w:rsidRPr="006944C0">
        <w:rPr>
          <w:noProof/>
          <w:lang w:eastAsia="en-GB"/>
        </w:rPr>
        <w:drawing>
          <wp:inline distT="0" distB="0" distL="0" distR="0" wp14:anchorId="072F99F8" wp14:editId="48327F62">
            <wp:extent cx="5729274" cy="44005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4403731"/>
                    </a:xfrm>
                    <a:prstGeom prst="rect">
                      <a:avLst/>
                    </a:prstGeom>
                    <a:noFill/>
                    <a:ln>
                      <a:noFill/>
                    </a:ln>
                  </pic:spPr>
                </pic:pic>
              </a:graphicData>
            </a:graphic>
          </wp:inline>
        </w:drawing>
      </w:r>
    </w:p>
    <w:p w:rsidR="006944C0" w:rsidRDefault="00B24893" w:rsidP="006944C0">
      <w:r w:rsidRPr="00B24893">
        <w:rPr>
          <w:noProof/>
          <w:lang w:eastAsia="en-GB"/>
        </w:rPr>
        <w:drawing>
          <wp:inline distT="0" distB="0" distL="0" distR="0" wp14:anchorId="544DA698" wp14:editId="41FD06CF">
            <wp:extent cx="5733415" cy="4055919"/>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4055919"/>
                    </a:xfrm>
                    <a:prstGeom prst="rect">
                      <a:avLst/>
                    </a:prstGeom>
                    <a:noFill/>
                    <a:ln>
                      <a:noFill/>
                    </a:ln>
                  </pic:spPr>
                </pic:pic>
              </a:graphicData>
            </a:graphic>
          </wp:inline>
        </w:drawing>
      </w:r>
    </w:p>
    <w:p w:rsidR="008A577E" w:rsidRDefault="00AF0E18" w:rsidP="0010143D">
      <w:pPr>
        <w:rPr>
          <w:rFonts w:cs="Arial"/>
        </w:rPr>
      </w:pPr>
      <w:r w:rsidRPr="00687624">
        <w:rPr>
          <w:rFonts w:cs="Arial"/>
          <w:noProof/>
          <w:lang w:eastAsia="en-GB"/>
        </w:rPr>
        <w:lastRenderedPageBreak/>
        <w:drawing>
          <wp:inline distT="0" distB="0" distL="0" distR="0" wp14:anchorId="22FB1B20" wp14:editId="164C71FF">
            <wp:extent cx="5733415" cy="4279288"/>
            <wp:effectExtent l="0" t="0" r="635"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4279288"/>
                    </a:xfrm>
                    <a:prstGeom prst="rect">
                      <a:avLst/>
                    </a:prstGeom>
                    <a:noFill/>
                    <a:ln>
                      <a:noFill/>
                    </a:ln>
                  </pic:spPr>
                </pic:pic>
              </a:graphicData>
            </a:graphic>
          </wp:inline>
        </w:drawing>
      </w:r>
    </w:p>
    <w:p w:rsidR="00530CF8" w:rsidRDefault="00530CF8" w:rsidP="0010143D">
      <w:pPr>
        <w:rPr>
          <w:rFonts w:cs="Arial"/>
        </w:rPr>
      </w:pPr>
    </w:p>
    <w:p w:rsidR="00B24D97" w:rsidRPr="00530CF8" w:rsidRDefault="00B24D97" w:rsidP="00EF287E">
      <w:pPr>
        <w:pStyle w:val="Heading2"/>
        <w:tabs>
          <w:tab w:val="left" w:pos="1843"/>
        </w:tabs>
        <w:rPr>
          <w:rFonts w:cs="Arial"/>
        </w:rPr>
      </w:pPr>
      <w:bookmarkStart w:id="114" w:name="RiskRouting"/>
      <w:bookmarkStart w:id="115" w:name="_Toc142277045"/>
      <w:bookmarkStart w:id="116" w:name="_Toc389214814"/>
      <w:bookmarkStart w:id="117" w:name="_Toc396989140"/>
      <w:bookmarkEnd w:id="114"/>
      <w:r w:rsidRPr="00530CF8">
        <w:rPr>
          <w:rFonts w:cs="Arial"/>
        </w:rPr>
        <w:t>Managing Agencies to Consider Claim</w:t>
      </w:r>
      <w:bookmarkEnd w:id="102"/>
      <w:bookmarkEnd w:id="103"/>
      <w:bookmarkEnd w:id="115"/>
      <w:bookmarkEnd w:id="116"/>
      <w:bookmarkEnd w:id="117"/>
    </w:p>
    <w:p w:rsidR="00B24D97" w:rsidRPr="00D64309" w:rsidRDefault="002E3FC7" w:rsidP="00D83B64">
      <w:pPr>
        <w:rPr>
          <w:rFonts w:cs="Arial"/>
        </w:rPr>
      </w:pPr>
      <w:r>
        <w:rPr>
          <w:rFonts w:cs="Arial"/>
        </w:rPr>
        <w:t>T</w:t>
      </w:r>
      <w:r w:rsidR="00B24D97" w:rsidRPr="00D64309">
        <w:rPr>
          <w:rFonts w:cs="Arial"/>
        </w:rPr>
        <w:t xml:space="preserve">his section describes Stage 3 (Managing Agencies to Consider Claim) within the claims process. </w:t>
      </w:r>
      <w:hyperlink w:anchor="_APPENDIx_B_–" w:history="1">
        <w:r w:rsidR="000E187E" w:rsidRPr="000E187E">
          <w:rPr>
            <w:rStyle w:val="Hyperlink"/>
            <w:rFonts w:cs="Arial"/>
          </w:rPr>
          <w:t>Section 7</w:t>
        </w:r>
      </w:hyperlink>
      <w:r w:rsidR="00B24D97" w:rsidRPr="000E187E">
        <w:rPr>
          <w:rFonts w:cs="Arial"/>
        </w:rPr>
        <w:t xml:space="preserve"> below shows the principle screen flows of the ECF</w:t>
      </w:r>
      <w:r w:rsidR="00B24D97" w:rsidRPr="00D64309">
        <w:rPr>
          <w:rFonts w:cs="Arial"/>
        </w:rPr>
        <w:t xml:space="preserve"> when being used to support the insurers (operating the Processes and Procedures described herein) to review, agree and settle claims.</w:t>
      </w:r>
    </w:p>
    <w:p w:rsidR="002B0E72" w:rsidRPr="002B0E72" w:rsidRDefault="00B24D97" w:rsidP="004C27C0">
      <w:pPr>
        <w:rPr>
          <w:rFonts w:cs="Arial"/>
        </w:rPr>
      </w:pPr>
      <w:bookmarkStart w:id="118" w:name="_Toc214261818"/>
      <w:bookmarkStart w:id="119" w:name="_Toc214261819"/>
      <w:bookmarkStart w:id="120" w:name="_Toc214261820"/>
      <w:bookmarkStart w:id="121" w:name="_Toc214261821"/>
      <w:bookmarkStart w:id="122" w:name="_Toc214261822"/>
      <w:bookmarkStart w:id="123" w:name="_Toc214261823"/>
      <w:bookmarkStart w:id="124" w:name="_Toc214261824"/>
      <w:bookmarkStart w:id="125" w:name="_Toc214261825"/>
      <w:bookmarkStart w:id="126" w:name="_Toc214261826"/>
      <w:bookmarkStart w:id="127" w:name="_Toc214261827"/>
      <w:bookmarkStart w:id="128" w:name="_Toc214261828"/>
      <w:bookmarkStart w:id="129" w:name="_Toc214261829"/>
      <w:bookmarkStart w:id="130" w:name="_Toc167766114"/>
      <w:bookmarkStart w:id="131" w:name="_Toc112226828"/>
      <w:bookmarkEnd w:id="118"/>
      <w:bookmarkEnd w:id="119"/>
      <w:bookmarkEnd w:id="120"/>
      <w:bookmarkEnd w:id="121"/>
      <w:bookmarkEnd w:id="122"/>
      <w:bookmarkEnd w:id="123"/>
      <w:bookmarkEnd w:id="124"/>
      <w:bookmarkEnd w:id="125"/>
      <w:bookmarkEnd w:id="126"/>
      <w:bookmarkEnd w:id="127"/>
      <w:bookmarkEnd w:id="128"/>
      <w:bookmarkEnd w:id="129"/>
      <w:bookmarkEnd w:id="130"/>
      <w:r w:rsidRPr="002B0E72">
        <w:t>Managing Agents’ Workflow</w:t>
      </w:r>
      <w:r w:rsidR="002B0E72" w:rsidRPr="002B0E72">
        <w:rPr>
          <w:rFonts w:cs="Arial"/>
        </w:rPr>
        <w:t xml:space="preserve"> will use the following methods</w:t>
      </w:r>
      <w:r w:rsidR="00D15101">
        <w:rPr>
          <w:rFonts w:cs="Arial"/>
        </w:rPr>
        <w:t xml:space="preserve"> within ECF or ECF2</w:t>
      </w:r>
      <w:r w:rsidR="002B0E72" w:rsidRPr="002B0E72">
        <w:rPr>
          <w:rFonts w:cs="Arial"/>
        </w:rPr>
        <w:t xml:space="preserve"> to manage and view transactions that require a response / action or remain incomplete;</w:t>
      </w:r>
    </w:p>
    <w:p w:rsidR="002B0E72" w:rsidRPr="002B0E72" w:rsidRDefault="002B0E72" w:rsidP="002B0E72">
      <w:pPr>
        <w:pStyle w:val="ListParagraph"/>
        <w:numPr>
          <w:ilvl w:val="0"/>
          <w:numId w:val="82"/>
        </w:numPr>
        <w:rPr>
          <w:rFonts w:ascii="Arial" w:hAnsi="Arial" w:cs="Arial"/>
          <w:sz w:val="20"/>
          <w:szCs w:val="20"/>
        </w:rPr>
      </w:pPr>
      <w:r w:rsidRPr="002B0E72">
        <w:rPr>
          <w:rFonts w:ascii="Arial" w:hAnsi="Arial" w:cs="Arial"/>
          <w:sz w:val="20"/>
          <w:szCs w:val="20"/>
        </w:rPr>
        <w:t>Awaiting action list within the IMR or CLASS</w:t>
      </w:r>
    </w:p>
    <w:p w:rsidR="002B0E72" w:rsidRPr="002B0E72" w:rsidRDefault="002B0E72" w:rsidP="002B0E72">
      <w:pPr>
        <w:pStyle w:val="ListParagraph"/>
        <w:numPr>
          <w:ilvl w:val="0"/>
          <w:numId w:val="82"/>
        </w:numPr>
        <w:rPr>
          <w:rFonts w:ascii="Arial" w:hAnsi="Arial" w:cs="Arial"/>
          <w:sz w:val="20"/>
          <w:szCs w:val="20"/>
        </w:rPr>
      </w:pPr>
      <w:r w:rsidRPr="002B0E72">
        <w:rPr>
          <w:rFonts w:ascii="Arial" w:hAnsi="Arial" w:cs="Arial"/>
          <w:sz w:val="20"/>
          <w:szCs w:val="20"/>
        </w:rPr>
        <w:t>Daily CSV file</w:t>
      </w:r>
    </w:p>
    <w:p w:rsidR="002B0E72" w:rsidRPr="002B0E72" w:rsidRDefault="002B0E72" w:rsidP="002B0E72">
      <w:pPr>
        <w:pStyle w:val="ListParagraph"/>
        <w:numPr>
          <w:ilvl w:val="0"/>
          <w:numId w:val="82"/>
        </w:numPr>
        <w:rPr>
          <w:rFonts w:ascii="Arial" w:hAnsi="Arial" w:cs="Arial"/>
          <w:sz w:val="20"/>
          <w:szCs w:val="20"/>
        </w:rPr>
      </w:pPr>
      <w:r w:rsidRPr="002B0E72">
        <w:rPr>
          <w:rFonts w:ascii="Arial" w:hAnsi="Arial" w:cs="Arial"/>
          <w:sz w:val="20"/>
          <w:szCs w:val="20"/>
        </w:rPr>
        <w:t>Claims Workflow Trigger (CWT) file – can be fed into an internal workflow</w:t>
      </w:r>
    </w:p>
    <w:p w:rsidR="00D15101" w:rsidRDefault="002B0E72" w:rsidP="00D15101">
      <w:pPr>
        <w:pStyle w:val="ListParagraph"/>
        <w:numPr>
          <w:ilvl w:val="0"/>
          <w:numId w:val="82"/>
        </w:numPr>
        <w:rPr>
          <w:rFonts w:ascii="Arial" w:hAnsi="Arial" w:cs="Arial"/>
          <w:sz w:val="20"/>
          <w:szCs w:val="20"/>
        </w:rPr>
      </w:pPr>
      <w:r w:rsidRPr="002B0E72">
        <w:rPr>
          <w:rFonts w:ascii="Arial" w:hAnsi="Arial" w:cs="Arial"/>
          <w:sz w:val="20"/>
          <w:szCs w:val="20"/>
        </w:rPr>
        <w:t>Claims Workflow Services (CWS) – workflow service available within ECF2</w:t>
      </w:r>
    </w:p>
    <w:p w:rsidR="00E2587F" w:rsidRDefault="00D15101" w:rsidP="00D15101">
      <w:pPr>
        <w:pStyle w:val="Heading3"/>
      </w:pPr>
      <w:bookmarkStart w:id="132" w:name="_Toc396989141"/>
      <w:r w:rsidRPr="00D15101">
        <w:t>ECF2 C</w:t>
      </w:r>
      <w:r w:rsidR="00E2587F">
        <w:t>omponents</w:t>
      </w:r>
      <w:bookmarkEnd w:id="132"/>
      <w:r w:rsidR="00E2587F">
        <w:t xml:space="preserve"> </w:t>
      </w:r>
    </w:p>
    <w:p w:rsidR="00D15101" w:rsidRPr="00D15101" w:rsidRDefault="00E2587F" w:rsidP="00E2587F">
      <w:pPr>
        <w:pStyle w:val="Heading4"/>
      </w:pPr>
      <w:r>
        <w:t>C</w:t>
      </w:r>
      <w:r w:rsidR="00D15101" w:rsidRPr="00D15101">
        <w:t xml:space="preserve">laims Workflow Triggers &amp; daily CSV </w:t>
      </w:r>
    </w:p>
    <w:p w:rsidR="00D15101" w:rsidRPr="00D15101" w:rsidRDefault="00D15101" w:rsidP="00D15101">
      <w:pPr>
        <w:rPr>
          <w:rFonts w:cs="Arial"/>
        </w:rPr>
      </w:pPr>
      <w:r w:rsidRPr="00D15101">
        <w:rPr>
          <w:rFonts w:cs="Arial"/>
        </w:rPr>
        <w:t>The new CWT service will consist of:</w:t>
      </w:r>
    </w:p>
    <w:p w:rsidR="00D15101" w:rsidRPr="00D15101" w:rsidRDefault="00D15101" w:rsidP="00D15101">
      <w:pPr>
        <w:rPr>
          <w:rFonts w:cs="Arial"/>
        </w:rPr>
      </w:pPr>
      <w:r w:rsidRPr="00D15101">
        <w:rPr>
          <w:rFonts w:cs="Arial"/>
        </w:rPr>
        <w:t xml:space="preserve">Claims Workflow Triggers File – available for MAs and companies, at various intervals between </w:t>
      </w:r>
      <w:r w:rsidR="00775FF2">
        <w:rPr>
          <w:rFonts w:cs="Arial"/>
        </w:rPr>
        <w:t>1 hour</w:t>
      </w:r>
      <w:r w:rsidRPr="00D15101">
        <w:rPr>
          <w:rFonts w:cs="Arial"/>
        </w:rPr>
        <w:t xml:space="preserve"> and daily, to feed existing or planned carrier workflow systems.</w:t>
      </w:r>
    </w:p>
    <w:p w:rsidR="00D15101" w:rsidRPr="00D15101" w:rsidRDefault="00D15101" w:rsidP="00D15101">
      <w:pPr>
        <w:rPr>
          <w:rFonts w:cs="Arial"/>
        </w:rPr>
      </w:pPr>
      <w:r w:rsidRPr="00D15101">
        <w:rPr>
          <w:rFonts w:cs="Arial"/>
        </w:rPr>
        <w:t>A new improved version of the ‘Daily CSV File’ that is currently available will improve the basic record of the claims ahead of the standard message output (LIMCLM/SCM).</w:t>
      </w:r>
    </w:p>
    <w:p w:rsidR="00D15101" w:rsidRPr="00D15101" w:rsidRDefault="00D15101" w:rsidP="00D15101">
      <w:pPr>
        <w:rPr>
          <w:rFonts w:cs="Arial"/>
        </w:rPr>
      </w:pPr>
      <w:r w:rsidRPr="00D15101">
        <w:rPr>
          <w:rFonts w:cs="Arial"/>
        </w:rPr>
        <w:lastRenderedPageBreak/>
        <w:t>CWT output is based upon events that occur on each transaction held in Lloyd’s, ILU, LIRMA versions of CLASS. Each time an action is taken by brokers, carriers or a 3</w:t>
      </w:r>
      <w:r w:rsidRPr="00D15101">
        <w:rPr>
          <w:rFonts w:cs="Arial"/>
          <w:vertAlign w:val="superscript"/>
        </w:rPr>
        <w:t>rd</w:t>
      </w:r>
      <w:r w:rsidRPr="00D15101">
        <w:rPr>
          <w:rFonts w:cs="Arial"/>
        </w:rPr>
        <w:t xml:space="preserve"> party on a transaction a new event will be generated and included in the next output of the CWT file.</w:t>
      </w:r>
    </w:p>
    <w:p w:rsidR="00D15101" w:rsidRPr="00D15101" w:rsidRDefault="00D15101" w:rsidP="00D15101">
      <w:pPr>
        <w:rPr>
          <w:rFonts w:cs="Arial"/>
        </w:rPr>
      </w:pPr>
      <w:r w:rsidRPr="00D15101">
        <w:rPr>
          <w:rFonts w:cs="Arial"/>
        </w:rPr>
        <w:t xml:space="preserve">The new Daily CSV file generates output for every transaction that a broker has created or modified during the previous day – it does not reflect responses by carriers or XCS. Anyone requiring additional information or wishing to register for these services please contact the Xchanging Implementation and Rollout Team at </w:t>
      </w:r>
      <w:hyperlink r:id="rId19" w:history="1">
        <w:r w:rsidRPr="00D15101">
          <w:rPr>
            <w:rStyle w:val="Hyperlink"/>
            <w:rFonts w:cs="Arial"/>
          </w:rPr>
          <w:t>service.centre@xchanging.com</w:t>
        </w:r>
      </w:hyperlink>
      <w:r w:rsidRPr="00D15101">
        <w:rPr>
          <w:rFonts w:cs="Arial"/>
        </w:rPr>
        <w:t xml:space="preserve"> </w:t>
      </w:r>
    </w:p>
    <w:p w:rsidR="00D15101" w:rsidRPr="00D15101" w:rsidRDefault="00D15101" w:rsidP="00E2587F">
      <w:pPr>
        <w:pStyle w:val="Heading4"/>
      </w:pPr>
      <w:r w:rsidRPr="00D15101">
        <w:t>ECF2 – Claims Workflow Services</w:t>
      </w:r>
    </w:p>
    <w:p w:rsidR="00D15101" w:rsidRPr="00D15101" w:rsidRDefault="00D15101" w:rsidP="00D15101">
      <w:pPr>
        <w:tabs>
          <w:tab w:val="left" w:pos="993"/>
        </w:tabs>
        <w:autoSpaceDE w:val="0"/>
        <w:autoSpaceDN w:val="0"/>
        <w:adjustRightInd w:val="0"/>
        <w:snapToGrid w:val="0"/>
        <w:spacing w:after="100" w:afterAutospacing="1"/>
        <w:contextualSpacing/>
        <w:rPr>
          <w:rFonts w:cs="Arial"/>
          <w:color w:val="000000"/>
        </w:rPr>
      </w:pPr>
      <w:r w:rsidRPr="00D15101">
        <w:rPr>
          <w:rFonts w:cs="Arial"/>
          <w:color w:val="000000"/>
        </w:rPr>
        <w:t>CWS (Claims Workflow Services) is a workflow system to be used in conjunction with ECF2 Review/Respond functionality.  It is an application that enables the allocation of work to teams and individual adjusters, and allows effective management of workflow with transaction lists and target dates.  The application also allows users to take actions on a claim, including navigation to the Review/Respond section of ECF to register a response to a claim and declaring a conflict of interest.  CWS operates under a single sign on with ECF2.</w:t>
      </w:r>
    </w:p>
    <w:p w:rsidR="00D15101" w:rsidRPr="00D15101" w:rsidRDefault="00D15101" w:rsidP="00D15101">
      <w:pPr>
        <w:tabs>
          <w:tab w:val="left" w:pos="993"/>
        </w:tabs>
        <w:autoSpaceDE w:val="0"/>
        <w:autoSpaceDN w:val="0"/>
        <w:adjustRightInd w:val="0"/>
        <w:snapToGrid w:val="0"/>
        <w:spacing w:after="100" w:afterAutospacing="1"/>
        <w:contextualSpacing/>
        <w:rPr>
          <w:rFonts w:cs="Arial"/>
          <w:color w:val="000000"/>
        </w:rPr>
      </w:pPr>
    </w:p>
    <w:p w:rsidR="00D15101" w:rsidRPr="00D15101" w:rsidRDefault="00D15101" w:rsidP="00D15101">
      <w:pPr>
        <w:tabs>
          <w:tab w:val="left" w:pos="993"/>
        </w:tabs>
        <w:autoSpaceDE w:val="0"/>
        <w:autoSpaceDN w:val="0"/>
        <w:adjustRightInd w:val="0"/>
        <w:snapToGrid w:val="0"/>
        <w:spacing w:after="100" w:afterAutospacing="1"/>
        <w:contextualSpacing/>
        <w:rPr>
          <w:rFonts w:cs="Arial"/>
        </w:rPr>
      </w:pPr>
      <w:r w:rsidRPr="00D15101">
        <w:rPr>
          <w:rFonts w:cs="Arial"/>
        </w:rPr>
        <w:t>To access CWS you select 1 Allocate Claims (Workflow).  The user is then presented with a Claims Awaiting Action tab, a Claims Responded To tab, a My Group tab (if a manager), a Non-Agreement Party tab and a Work Allocation tab.</w:t>
      </w:r>
    </w:p>
    <w:p w:rsidR="00D15101" w:rsidRPr="00D15101" w:rsidRDefault="00D15101" w:rsidP="00D15101">
      <w:pPr>
        <w:contextualSpacing/>
        <w:rPr>
          <w:rFonts w:cs="Arial"/>
        </w:rPr>
      </w:pPr>
    </w:p>
    <w:p w:rsidR="00D15101" w:rsidRPr="00D15101" w:rsidRDefault="00D15101" w:rsidP="00D15101">
      <w:pPr>
        <w:contextualSpacing/>
        <w:rPr>
          <w:rFonts w:cs="Arial"/>
        </w:rPr>
      </w:pPr>
      <w:r w:rsidRPr="00D15101">
        <w:rPr>
          <w:rFonts w:cs="Arial"/>
        </w:rPr>
        <w:t>NB: You must liaise with Xchanging for effective set up of user roles, teams, work baskets and access rights.  The CWS Admin function will allow some subsequent updates of user roles, work baskets and routing rules. However the initial set up will require additional liaison to determine where work items route to.</w:t>
      </w:r>
    </w:p>
    <w:p w:rsidR="00D15101" w:rsidRPr="00D15101" w:rsidRDefault="00D15101" w:rsidP="00D15101">
      <w:pPr>
        <w:contextualSpacing/>
        <w:rPr>
          <w:rFonts w:cs="Arial"/>
        </w:rPr>
      </w:pPr>
    </w:p>
    <w:p w:rsidR="00D15101" w:rsidRPr="00D15101" w:rsidRDefault="00D15101" w:rsidP="00D15101">
      <w:pPr>
        <w:rPr>
          <w:rFonts w:cs="Arial"/>
        </w:rPr>
      </w:pPr>
      <w:r w:rsidRPr="00D15101">
        <w:rPr>
          <w:rFonts w:cs="Arial"/>
        </w:rPr>
        <w:t xml:space="preserve">The CWT &amp; CWS functional specification and user guide documentation is available within; </w:t>
      </w:r>
      <w:hyperlink r:id="rId20" w:history="1">
        <w:r w:rsidRPr="00D15101">
          <w:rPr>
            <w:rStyle w:val="Hyperlink"/>
            <w:rFonts w:cs="Arial"/>
          </w:rPr>
          <w:t>https://ecfdocs.xchanging.com/Home/Index/c1d9818b-5d91-44fc-a30c-73f8d84016d0</w:t>
        </w:r>
      </w:hyperlink>
    </w:p>
    <w:p w:rsidR="00D15101" w:rsidRPr="00D15101" w:rsidRDefault="00D15101" w:rsidP="00E2587F">
      <w:pPr>
        <w:pStyle w:val="Heading4"/>
      </w:pPr>
      <w:r w:rsidRPr="00D15101">
        <w:rPr>
          <w:rStyle w:val="Strong"/>
          <w:rFonts w:cs="Arial"/>
          <w:b/>
          <w:bCs w:val="0"/>
        </w:rPr>
        <w:t>ECF2 - SSO – ‘Single Sign On’</w:t>
      </w:r>
    </w:p>
    <w:p w:rsidR="00D15101" w:rsidRPr="00D15101" w:rsidRDefault="00D15101" w:rsidP="00D15101">
      <w:pPr>
        <w:rPr>
          <w:rFonts w:cs="Arial"/>
        </w:rPr>
      </w:pPr>
      <w:r w:rsidRPr="00D15101">
        <w:rPr>
          <w:rFonts w:cs="Arial"/>
        </w:rPr>
        <w:t xml:space="preserve">Single sign on allows </w:t>
      </w:r>
      <w:r w:rsidRPr="00D15101">
        <w:rPr>
          <w:rFonts w:cs="Arial"/>
          <w:color w:val="003300"/>
        </w:rPr>
        <w:t xml:space="preserve">LIRMA, ILU and Lloyds </w:t>
      </w:r>
      <w:r w:rsidRPr="00D15101">
        <w:rPr>
          <w:rFonts w:cs="Arial"/>
        </w:rPr>
        <w:t xml:space="preserve">users to access CWS (Claims Workflow Services), CAS (Claims Agreement Screens, </w:t>
      </w:r>
      <w:r w:rsidRPr="00D15101">
        <w:rPr>
          <w:rFonts w:cs="Arial"/>
          <w:color w:val="003300"/>
        </w:rPr>
        <w:t>DFV (Document File Viewer) and the IMR, all under one sign on.</w:t>
      </w:r>
      <w:r w:rsidRPr="00D15101">
        <w:rPr>
          <w:rFonts w:cs="Arial"/>
        </w:rPr>
        <w:t xml:space="preserve"> </w:t>
      </w:r>
    </w:p>
    <w:p w:rsidR="00D15101" w:rsidRPr="00D15101" w:rsidRDefault="00D15101" w:rsidP="00D15101">
      <w:pPr>
        <w:rPr>
          <w:rFonts w:cs="Arial"/>
          <w:color w:val="FF0000"/>
        </w:rPr>
      </w:pPr>
      <w:r w:rsidRPr="00D15101">
        <w:rPr>
          <w:rFonts w:cs="Arial"/>
        </w:rPr>
        <w:t>Should a user wish to go direct to the IMR or CLASS, they will need to use their respective username and password as these are different from ECF2. Current CLASS and IMR usernames and passwords will remain. (It should also be noted that the log out time for the IMR is one hour)</w:t>
      </w:r>
    </w:p>
    <w:p w:rsidR="00D15101" w:rsidRPr="00D15101" w:rsidRDefault="00D15101" w:rsidP="00D15101">
      <w:pPr>
        <w:rPr>
          <w:rFonts w:cs="Arial"/>
        </w:rPr>
      </w:pPr>
      <w:r w:rsidRPr="00D15101">
        <w:rPr>
          <w:rFonts w:cs="Arial"/>
        </w:rPr>
        <w:t xml:space="preserve">Registration forms for new users or to amend an existing IMR profile are available from the Xchanging Service Centre at </w:t>
      </w:r>
      <w:hyperlink r:id="rId21" w:tooltip="mailto:Service.Centre@xchanging.com" w:history="1">
        <w:r w:rsidRPr="00D15101">
          <w:rPr>
            <w:rStyle w:val="Hyperlink"/>
            <w:rFonts w:cs="Arial"/>
          </w:rPr>
          <w:t>Service.Centre@xchanging.com</w:t>
        </w:r>
      </w:hyperlink>
      <w:r w:rsidRPr="00D15101">
        <w:rPr>
          <w:rFonts w:cs="Arial"/>
        </w:rPr>
        <w:t>.</w:t>
      </w:r>
    </w:p>
    <w:p w:rsidR="00D15101" w:rsidRPr="00D15101" w:rsidRDefault="00D15101" w:rsidP="00E2587F">
      <w:pPr>
        <w:pStyle w:val="Heading4"/>
      </w:pPr>
      <w:r w:rsidRPr="00D15101">
        <w:rPr>
          <w:rStyle w:val="Strong"/>
          <w:rFonts w:cs="Arial"/>
          <w:b/>
          <w:bCs w:val="0"/>
        </w:rPr>
        <w:t>ECF2 - CAS – ‘Claims Agreement Screens’</w:t>
      </w:r>
    </w:p>
    <w:p w:rsidR="00D15101" w:rsidRPr="00D15101" w:rsidRDefault="00D15101" w:rsidP="00D15101">
      <w:pPr>
        <w:rPr>
          <w:rFonts w:cs="Arial"/>
        </w:rPr>
      </w:pPr>
      <w:r w:rsidRPr="00D15101">
        <w:rPr>
          <w:rFonts w:cs="Arial"/>
        </w:rPr>
        <w:t xml:space="preserve">The Claims Agreement Screens (CAS) within ECF2 is split into 2 panes, one is for “Review” and one for “Respond” </w:t>
      </w:r>
    </w:p>
    <w:p w:rsidR="00D15101" w:rsidRPr="00D15101" w:rsidRDefault="00D15101" w:rsidP="00D15101">
      <w:pPr>
        <w:rPr>
          <w:rFonts w:cs="Arial"/>
        </w:rPr>
      </w:pPr>
      <w:r w:rsidRPr="00D15101">
        <w:rPr>
          <w:rFonts w:cs="Arial"/>
        </w:rPr>
        <w:t xml:space="preserve">CAS provides the same user interface for all carriers from each bureau, and ALL claims are accessible on CAS for LIRMA and ILU, including paper claims. </w:t>
      </w:r>
    </w:p>
    <w:p w:rsidR="00D15101" w:rsidRPr="00D15101" w:rsidRDefault="00D15101" w:rsidP="00D15101">
      <w:pPr>
        <w:rPr>
          <w:rFonts w:cs="Arial"/>
        </w:rPr>
      </w:pPr>
      <w:r w:rsidRPr="00D15101">
        <w:rPr>
          <w:rFonts w:cs="Arial"/>
        </w:rPr>
        <w:t>There is a transaction summary screen for Lloyd’s users (previously only available to LIRMA and ILU users).This functionality amongst other things provides a financial history of the claim broken down by each transaction and all transactions are accessible from this screen.</w:t>
      </w:r>
    </w:p>
    <w:p w:rsidR="00D15101" w:rsidRPr="00D15101" w:rsidRDefault="00D15101" w:rsidP="00D15101">
      <w:pPr>
        <w:rPr>
          <w:rFonts w:cs="Arial"/>
        </w:rPr>
      </w:pPr>
      <w:r w:rsidRPr="00D15101">
        <w:rPr>
          <w:rFonts w:cs="Arial"/>
        </w:rPr>
        <w:t xml:space="preserve">The CAS functional specification and user guide documentation is available within; </w:t>
      </w:r>
      <w:hyperlink r:id="rId22" w:history="1">
        <w:r w:rsidRPr="00D15101">
          <w:rPr>
            <w:rStyle w:val="Hyperlink"/>
            <w:rFonts w:cs="Arial"/>
          </w:rPr>
          <w:t>https://ecfdocs.xchanging.com/Home/Index/23cbe377-5ef1-499b-92ef-775f336696fb</w:t>
        </w:r>
      </w:hyperlink>
    </w:p>
    <w:p w:rsidR="00D15101" w:rsidRPr="00D15101" w:rsidRDefault="00D15101" w:rsidP="00E2587F">
      <w:pPr>
        <w:pStyle w:val="Heading4"/>
      </w:pPr>
      <w:r w:rsidRPr="00D15101">
        <w:rPr>
          <w:rStyle w:val="Strong"/>
          <w:rFonts w:cs="Arial"/>
          <w:b/>
          <w:bCs w:val="0"/>
        </w:rPr>
        <w:t>ECF 2 - DFV – ‘Document File Viewer’</w:t>
      </w:r>
    </w:p>
    <w:p w:rsidR="00D15101" w:rsidRPr="00D15101" w:rsidRDefault="00D15101" w:rsidP="00D15101">
      <w:pPr>
        <w:rPr>
          <w:rFonts w:cs="Arial"/>
        </w:rPr>
      </w:pPr>
      <w:r w:rsidRPr="00D15101">
        <w:rPr>
          <w:rFonts w:cs="Arial"/>
        </w:rPr>
        <w:t xml:space="preserve">Document File Viewer provides document access to claim and policy related documents linked to the UCR and UMR within the IMR. DFV enables a tailored view of these documents and stitches them into a single PDF file. This allows documents to be presented in a fast and flexible way, enabling a </w:t>
      </w:r>
      <w:r w:rsidRPr="00D15101">
        <w:rPr>
          <w:rFonts w:cs="Arial"/>
        </w:rPr>
        <w:lastRenderedPageBreak/>
        <w:t>user to quickly and easily move between the different documents on the same claim without the need to open each separate document, including a full text search within selected documents.</w:t>
      </w:r>
    </w:p>
    <w:p w:rsidR="00D15101" w:rsidRPr="00D15101" w:rsidRDefault="00D15101" w:rsidP="00D15101">
      <w:pPr>
        <w:rPr>
          <w:rFonts w:cs="Arial"/>
        </w:rPr>
      </w:pPr>
      <w:r w:rsidRPr="00D15101">
        <w:rPr>
          <w:rFonts w:cs="Arial"/>
        </w:rPr>
        <w:t>There is no modifying access to documents through the DFV. </w:t>
      </w:r>
    </w:p>
    <w:p w:rsidR="00D15101" w:rsidRPr="00D15101" w:rsidRDefault="00D15101" w:rsidP="00D15101">
      <w:pPr>
        <w:rPr>
          <w:rFonts w:cs="Arial"/>
          <w:color w:val="000000"/>
        </w:rPr>
      </w:pPr>
      <w:r w:rsidRPr="00D15101">
        <w:rPr>
          <w:rFonts w:cs="Arial"/>
          <w:color w:val="000000"/>
        </w:rPr>
        <w:t xml:space="preserve">Email documents are currently loaded into the IMR (although strictly speaking they are not a valid file type). These emails often contain attached / embedded documents. A conversion process is in place within the IMR so that the associated attachments / embedded files are stripped out of the email and created as separate pdf's in their own right within the IMR and displayed within DFV. </w:t>
      </w:r>
    </w:p>
    <w:p w:rsidR="00D15101" w:rsidRPr="00D15101" w:rsidRDefault="00D15101" w:rsidP="00D15101">
      <w:pPr>
        <w:rPr>
          <w:rFonts w:cs="Arial"/>
        </w:rPr>
      </w:pPr>
      <w:r w:rsidRPr="00D15101">
        <w:rPr>
          <w:rFonts w:cs="Arial"/>
        </w:rPr>
        <w:t>NB: DFV is only available to carriers using CAS as part of ECF2 and is not available to brokers or users of ECF1.</w:t>
      </w:r>
    </w:p>
    <w:p w:rsidR="00D15101" w:rsidRPr="00D15101" w:rsidRDefault="00D15101" w:rsidP="00D15101">
      <w:pPr>
        <w:rPr>
          <w:rFonts w:cs="Arial"/>
          <w:b/>
        </w:rPr>
      </w:pPr>
      <w:r w:rsidRPr="00D15101">
        <w:rPr>
          <w:rFonts w:cs="Arial"/>
          <w:b/>
        </w:rPr>
        <w:t xml:space="preserve">Please note:-  </w:t>
      </w:r>
    </w:p>
    <w:p w:rsidR="00D15101" w:rsidRPr="00D15101" w:rsidRDefault="00D15101" w:rsidP="00D15101">
      <w:pPr>
        <w:pStyle w:val="ListParagraph"/>
        <w:numPr>
          <w:ilvl w:val="0"/>
          <w:numId w:val="117"/>
        </w:numPr>
        <w:ind w:left="567" w:hanging="567"/>
        <w:rPr>
          <w:rFonts w:ascii="Arial" w:hAnsi="Arial" w:cs="Arial"/>
          <w:sz w:val="20"/>
          <w:szCs w:val="20"/>
        </w:rPr>
      </w:pPr>
      <w:r w:rsidRPr="00D15101">
        <w:rPr>
          <w:rFonts w:ascii="Arial" w:hAnsi="Arial" w:cs="Arial"/>
          <w:sz w:val="20"/>
          <w:szCs w:val="20"/>
        </w:rPr>
        <w:t>There is a strong recommendation in place for the size of documents which can be loaded to the IMR. The maximum limit is 20MB for any one document.</w:t>
      </w:r>
    </w:p>
    <w:p w:rsidR="00D15101" w:rsidRPr="00D15101" w:rsidRDefault="00D15101" w:rsidP="00D15101">
      <w:pPr>
        <w:pStyle w:val="ListParagraph"/>
        <w:numPr>
          <w:ilvl w:val="0"/>
          <w:numId w:val="117"/>
        </w:numPr>
        <w:ind w:left="567" w:hanging="567"/>
        <w:rPr>
          <w:rFonts w:ascii="Arial" w:hAnsi="Arial" w:cs="Arial"/>
          <w:sz w:val="20"/>
          <w:szCs w:val="20"/>
        </w:rPr>
      </w:pPr>
      <w:r w:rsidRPr="00D15101">
        <w:rPr>
          <w:rFonts w:ascii="Arial" w:hAnsi="Arial" w:cs="Arial"/>
          <w:sz w:val="20"/>
          <w:szCs w:val="20"/>
        </w:rPr>
        <w:t>Users should also note that any Excel spreadsheets greater than 5MB will not be converted to PDF and held within the DFV but users will be able to access the original Excel document by clicking on the IMR link held in DFV.</w:t>
      </w:r>
    </w:p>
    <w:p w:rsidR="00D15101" w:rsidRPr="00D15101" w:rsidRDefault="00D15101" w:rsidP="00D15101">
      <w:pPr>
        <w:pStyle w:val="ListParagraph"/>
        <w:numPr>
          <w:ilvl w:val="0"/>
          <w:numId w:val="117"/>
        </w:numPr>
        <w:ind w:left="567" w:hanging="567"/>
        <w:rPr>
          <w:rFonts w:ascii="Arial" w:hAnsi="Arial" w:cs="Arial"/>
          <w:b/>
          <w:sz w:val="20"/>
          <w:szCs w:val="20"/>
        </w:rPr>
      </w:pPr>
      <w:r w:rsidRPr="00D15101">
        <w:rPr>
          <w:rFonts w:ascii="Arial" w:hAnsi="Arial" w:cs="Arial"/>
          <w:b/>
          <w:sz w:val="20"/>
          <w:szCs w:val="20"/>
        </w:rPr>
        <w:t>To assist with the correct loading of an Excel spreadsheet, please format the workbook by setting the print area before loading the document on to the IMR. This will reduce the time it takes to convert the spreadsheet as a result of the parameters being set for conversion.</w:t>
      </w:r>
    </w:p>
    <w:p w:rsidR="00D15101" w:rsidRPr="00D15101" w:rsidRDefault="00D15101" w:rsidP="00D15101">
      <w:pPr>
        <w:pStyle w:val="ListParagraph"/>
        <w:numPr>
          <w:ilvl w:val="0"/>
          <w:numId w:val="117"/>
        </w:numPr>
        <w:ind w:left="567" w:hanging="567"/>
        <w:rPr>
          <w:rFonts w:ascii="Arial" w:hAnsi="Arial" w:cs="Arial"/>
          <w:color w:val="FF0000"/>
          <w:sz w:val="20"/>
          <w:szCs w:val="20"/>
        </w:rPr>
      </w:pPr>
      <w:r w:rsidRPr="00D15101">
        <w:rPr>
          <w:rFonts w:ascii="Arial" w:hAnsi="Arial" w:cs="Arial"/>
          <w:b/>
          <w:sz w:val="20"/>
          <w:szCs w:val="20"/>
        </w:rPr>
        <w:t>Please do not password protect your documents unless absolutely necessary</w:t>
      </w:r>
      <w:r w:rsidRPr="00D15101">
        <w:rPr>
          <w:rFonts w:ascii="Arial" w:hAnsi="Arial" w:cs="Arial"/>
          <w:sz w:val="20"/>
          <w:szCs w:val="20"/>
        </w:rPr>
        <w:t>. Where you do DFV will not be able to retrieve the document automatically, and it will have to be accessed by clicking on the link held in DFV</w:t>
      </w:r>
      <w:r w:rsidRPr="00D15101">
        <w:rPr>
          <w:rFonts w:ascii="Arial" w:hAnsi="Arial" w:cs="Arial"/>
          <w:color w:val="FF0000"/>
          <w:sz w:val="20"/>
          <w:szCs w:val="20"/>
        </w:rPr>
        <w:t>.</w:t>
      </w:r>
    </w:p>
    <w:p w:rsidR="00D15101" w:rsidRPr="00D15101" w:rsidRDefault="00D15101" w:rsidP="00D15101">
      <w:pPr>
        <w:rPr>
          <w:rFonts w:cs="Arial"/>
        </w:rPr>
      </w:pPr>
      <w:r w:rsidRPr="00D15101">
        <w:rPr>
          <w:rFonts w:cs="Arial"/>
        </w:rPr>
        <w:t xml:space="preserve">The DFV functional specification and user guide documentation for these components is available within </w:t>
      </w:r>
      <w:hyperlink r:id="rId23" w:history="1">
        <w:r w:rsidRPr="00D15101">
          <w:rPr>
            <w:rStyle w:val="Hyperlink"/>
            <w:rFonts w:cs="Arial"/>
          </w:rPr>
          <w:t>https://ecfdocs.xchanging.com/Home/Index/9c80c26f-b213-41d4-9c71-33884ee4fc58</w:t>
        </w:r>
      </w:hyperlink>
    </w:p>
    <w:p w:rsidR="002B0E72" w:rsidRDefault="002B0E72" w:rsidP="002B0E72">
      <w:pPr>
        <w:rPr>
          <w:rFonts w:cs="Arial"/>
        </w:rPr>
      </w:pPr>
      <w:r w:rsidRPr="002B0E72">
        <w:rPr>
          <w:rFonts w:cs="Arial"/>
        </w:rPr>
        <w:t>A link to the d</w:t>
      </w:r>
      <w:r w:rsidR="00B5593C">
        <w:rPr>
          <w:rFonts w:cs="Arial"/>
        </w:rPr>
        <w:t>ocument store is provided below.</w:t>
      </w:r>
      <w:r w:rsidRPr="002B0E72">
        <w:rPr>
          <w:rFonts w:cs="Arial"/>
        </w:rPr>
        <w:t xml:space="preserve"> </w:t>
      </w:r>
      <w:r w:rsidR="00B5593C">
        <w:rPr>
          <w:rFonts w:cs="Arial"/>
        </w:rPr>
        <w:t>W</w:t>
      </w:r>
      <w:r w:rsidRPr="002B0E72">
        <w:rPr>
          <w:rFonts w:cs="Arial"/>
        </w:rPr>
        <w:t xml:space="preserve">ithin the store, user guide and functional specification documents are available for </w:t>
      </w:r>
      <w:r w:rsidR="00012CE8">
        <w:rPr>
          <w:rFonts w:cs="Arial"/>
        </w:rPr>
        <w:t xml:space="preserve">both </w:t>
      </w:r>
      <w:r w:rsidRPr="002B0E72">
        <w:rPr>
          <w:rFonts w:cs="Arial"/>
        </w:rPr>
        <w:t xml:space="preserve">CWT and CWS. These documents allow an organisation to determine the best method for </w:t>
      </w:r>
      <w:r w:rsidR="00B5593C">
        <w:rPr>
          <w:rFonts w:cs="Arial"/>
        </w:rPr>
        <w:t>handling</w:t>
      </w:r>
      <w:r w:rsidR="00012CE8">
        <w:rPr>
          <w:rFonts w:cs="Arial"/>
        </w:rPr>
        <w:t xml:space="preserve"> </w:t>
      </w:r>
      <w:r w:rsidR="00B5593C">
        <w:rPr>
          <w:rFonts w:cs="Arial"/>
        </w:rPr>
        <w:t xml:space="preserve">daily </w:t>
      </w:r>
      <w:r w:rsidRPr="002B0E72">
        <w:rPr>
          <w:rFonts w:cs="Arial"/>
        </w:rPr>
        <w:t xml:space="preserve">ECF transactions. </w:t>
      </w:r>
    </w:p>
    <w:p w:rsidR="002B0E72" w:rsidRPr="002B0E72" w:rsidRDefault="002B0E72" w:rsidP="002B0E72">
      <w:pPr>
        <w:rPr>
          <w:rFonts w:cs="Arial"/>
        </w:rPr>
      </w:pPr>
      <w:r w:rsidRPr="002E3FC7">
        <w:rPr>
          <w:rFonts w:cs="Arial"/>
          <w:b/>
          <w:iCs/>
          <w:lang w:val="en-US"/>
        </w:rPr>
        <w:t xml:space="preserve">To access the document store please use your SSO/ECF2 </w:t>
      </w:r>
      <w:r w:rsidR="00012CE8" w:rsidRPr="002E3FC7">
        <w:rPr>
          <w:rFonts w:cs="Arial"/>
          <w:b/>
          <w:iCs/>
          <w:lang w:val="en-US"/>
        </w:rPr>
        <w:t>user id</w:t>
      </w:r>
      <w:r w:rsidRPr="002E3FC7">
        <w:rPr>
          <w:rFonts w:cs="Arial"/>
          <w:b/>
          <w:iCs/>
          <w:lang w:val="en-US"/>
        </w:rPr>
        <w:t xml:space="preserve"> and password. </w:t>
      </w:r>
      <w:r w:rsidR="0068418A" w:rsidRPr="002E3FC7">
        <w:rPr>
          <w:rFonts w:cs="Arial"/>
          <w:b/>
          <w:iCs/>
          <w:lang w:val="en-US"/>
        </w:rPr>
        <w:t>P</w:t>
      </w:r>
      <w:r w:rsidRPr="002E3FC7">
        <w:rPr>
          <w:rFonts w:cs="Arial"/>
          <w:b/>
          <w:iCs/>
          <w:lang w:val="en-US"/>
        </w:rPr>
        <w:t xml:space="preserve">lease contact the Xchanging Service Centre if you require assistance in obtaining a </w:t>
      </w:r>
      <w:r w:rsidR="00012CE8" w:rsidRPr="002E3FC7">
        <w:rPr>
          <w:rFonts w:cs="Arial"/>
          <w:b/>
          <w:iCs/>
          <w:lang w:val="en-US"/>
        </w:rPr>
        <w:t>logo</w:t>
      </w:r>
      <w:r w:rsidR="0068418A" w:rsidRPr="002E3FC7">
        <w:rPr>
          <w:rFonts w:cs="Arial"/>
          <w:b/>
          <w:iCs/>
          <w:lang w:val="en-US"/>
        </w:rPr>
        <w:t>n. Brokers</w:t>
      </w:r>
      <w:r w:rsidR="00012CE8" w:rsidRPr="002E3FC7">
        <w:rPr>
          <w:rFonts w:cs="Arial"/>
          <w:b/>
          <w:iCs/>
          <w:lang w:val="en-US"/>
        </w:rPr>
        <w:t xml:space="preserve">, your </w:t>
      </w:r>
      <w:r w:rsidRPr="002E3FC7">
        <w:rPr>
          <w:rFonts w:cs="Arial"/>
          <w:b/>
          <w:iCs/>
          <w:lang w:val="en-US"/>
        </w:rPr>
        <w:t xml:space="preserve">SSO profile for the purposes of accessing the document </w:t>
      </w:r>
      <w:r w:rsidR="00B5593C" w:rsidRPr="002E3FC7">
        <w:rPr>
          <w:rFonts w:cs="Arial"/>
          <w:b/>
          <w:iCs/>
          <w:lang w:val="en-US"/>
        </w:rPr>
        <w:t xml:space="preserve">store </w:t>
      </w:r>
      <w:r w:rsidR="00012CE8" w:rsidRPr="002E3FC7">
        <w:rPr>
          <w:rFonts w:cs="Arial"/>
          <w:b/>
          <w:iCs/>
          <w:lang w:val="en-US"/>
        </w:rPr>
        <w:t>can be requested from Xchanging.</w:t>
      </w:r>
      <w:r w:rsidR="00E6161E">
        <w:rPr>
          <w:rFonts w:cs="Arial"/>
        </w:rPr>
        <w:t xml:space="preserve"> </w:t>
      </w:r>
      <w:hyperlink r:id="rId24" w:history="1">
        <w:r w:rsidRPr="002E3FC7">
          <w:rPr>
            <w:rStyle w:val="Hyperlink"/>
            <w:rFonts w:cs="Arial"/>
            <w:lang w:val="en-US"/>
          </w:rPr>
          <w:t>https://ecfdocs.xchanging.com</w:t>
        </w:r>
      </w:hyperlink>
    </w:p>
    <w:p w:rsidR="00C14056" w:rsidRPr="00B66993" w:rsidRDefault="00B24D97" w:rsidP="00B66993">
      <w:bookmarkStart w:id="133" w:name="_Toc390094462"/>
      <w:r w:rsidRPr="00B66993">
        <w:t xml:space="preserve">On any transaction, Agreement Parties have the ability to enter references in the “Claims Reference 1” and “Claims Reference 2” fields </w:t>
      </w:r>
      <w:r w:rsidR="00012CE8" w:rsidRPr="00B66993">
        <w:t>within the r</w:t>
      </w:r>
      <w:r w:rsidRPr="00B66993">
        <w:t xml:space="preserve">esponse </w:t>
      </w:r>
      <w:r w:rsidR="00012CE8" w:rsidRPr="00B66993">
        <w:t>s</w:t>
      </w:r>
      <w:r w:rsidRPr="00B66993">
        <w:t xml:space="preserve">creen. These are free-text fields and Managing Agents may enter any references that they would find useful to filter their claims internally. The references entered will automatically be included on any subsequent transaction for that particular claim. The fields are also displayed on the Awaiting Actions screen and users are able to sort the list of Awaiting Actions accordingly. The fields are included in the Insurers’ </w:t>
      </w:r>
      <w:r w:rsidR="002B0E72" w:rsidRPr="00B66993">
        <w:t>CSV d</w:t>
      </w:r>
      <w:r w:rsidRPr="00B66993">
        <w:t xml:space="preserve">aily </w:t>
      </w:r>
      <w:r w:rsidR="002B0E72" w:rsidRPr="00B66993">
        <w:t>n</w:t>
      </w:r>
      <w:r w:rsidRPr="00B66993">
        <w:t>otification message</w:t>
      </w:r>
      <w:r w:rsidR="00012CE8" w:rsidRPr="00B66993">
        <w:t>,</w:t>
      </w:r>
      <w:r w:rsidR="002B0E72" w:rsidRPr="00B66993">
        <w:t xml:space="preserve"> </w:t>
      </w:r>
      <w:r w:rsidR="001965A8" w:rsidRPr="00B66993">
        <w:t>Claim Workflow Trigger</w:t>
      </w:r>
      <w:r w:rsidR="00012CE8" w:rsidRPr="00B66993">
        <w:t xml:space="preserve"> file and Claim Workflow Service screens.</w:t>
      </w:r>
      <w:r w:rsidRPr="00B66993">
        <w:t xml:space="preserve"> Users can update their references on every transaction, prior to submitting a response, if they wish. Note that these fields will be blank until a user enters any references; therefore the first transaction on a claim will never contain these references.</w:t>
      </w:r>
      <w:bookmarkStart w:id="134" w:name="_Toc389214815"/>
      <w:bookmarkStart w:id="135" w:name="_Toc112226833"/>
      <w:bookmarkEnd w:id="131"/>
      <w:bookmarkEnd w:id="133"/>
    </w:p>
    <w:p w:rsidR="00B24D97" w:rsidRPr="00144EAB" w:rsidRDefault="000C64F8" w:rsidP="00C14056">
      <w:pPr>
        <w:pStyle w:val="Heading3"/>
      </w:pPr>
      <w:bookmarkStart w:id="136" w:name="_Toc396989142"/>
      <w:r w:rsidRPr="00144EAB">
        <w:t xml:space="preserve">Classification of documents - </w:t>
      </w:r>
      <w:r w:rsidR="00B24D97" w:rsidRPr="00144EAB">
        <w:t>Agreement Part</w:t>
      </w:r>
      <w:r w:rsidR="00621120">
        <w:t>ies</w:t>
      </w:r>
      <w:bookmarkEnd w:id="134"/>
      <w:bookmarkEnd w:id="136"/>
    </w:p>
    <w:p w:rsidR="00B24D97" w:rsidRPr="00372619" w:rsidRDefault="00651B6C" w:rsidP="00372619">
      <w:bookmarkStart w:id="137" w:name="_Toc389214816"/>
      <w:r w:rsidRPr="00372619">
        <w:t>When an agreement party is adding and associating documents to a UCR or TR a classification of those documents can be made. The classification allows certain parties to be excluded from reviewing the document loaded</w:t>
      </w:r>
      <w:r w:rsidR="00D00578" w:rsidRPr="00372619">
        <w:t xml:space="preserve">. </w:t>
      </w:r>
      <w:r w:rsidR="00B24D97" w:rsidRPr="00372619">
        <w:t xml:space="preserve">Only the “Coverage” classification </w:t>
      </w:r>
      <w:r w:rsidR="00D00578" w:rsidRPr="00372619">
        <w:t xml:space="preserve">completely </w:t>
      </w:r>
      <w:r w:rsidR="00B24D97" w:rsidRPr="00372619">
        <w:t xml:space="preserve">restricts </w:t>
      </w:r>
      <w:r w:rsidR="00D00578" w:rsidRPr="00372619">
        <w:t xml:space="preserve">a brokers view of or access </w:t>
      </w:r>
      <w:r w:rsidR="00B24D97" w:rsidRPr="00372619">
        <w:t>to the document, although brokers will retain access to any document that they have loaded, regardless of the classification.</w:t>
      </w:r>
      <w:bookmarkEnd w:id="137"/>
    </w:p>
    <w:p w:rsidR="00680814" w:rsidRPr="00372619" w:rsidRDefault="00680814" w:rsidP="00372619">
      <w:pPr>
        <w:pStyle w:val="Heading3"/>
        <w:rPr>
          <w:rStyle w:val="Emphasis"/>
          <w:i w:val="0"/>
          <w:iCs w:val="0"/>
        </w:rPr>
      </w:pPr>
      <w:bookmarkStart w:id="138" w:name="_Toc390092776"/>
      <w:bookmarkStart w:id="139" w:name="_Toc390093137"/>
      <w:bookmarkStart w:id="140" w:name="_Toc390094178"/>
      <w:bookmarkStart w:id="141" w:name="_Toc390094321"/>
      <w:bookmarkStart w:id="142" w:name="_Toc390094464"/>
      <w:bookmarkStart w:id="143" w:name="_Toc390094610"/>
      <w:bookmarkStart w:id="144" w:name="_Toc390094753"/>
      <w:bookmarkStart w:id="145" w:name="_Confidential_Reports"/>
      <w:bookmarkStart w:id="146" w:name="_Toc389214817"/>
      <w:bookmarkStart w:id="147" w:name="_Toc396989143"/>
      <w:bookmarkEnd w:id="138"/>
      <w:bookmarkEnd w:id="139"/>
      <w:bookmarkEnd w:id="140"/>
      <w:bookmarkEnd w:id="141"/>
      <w:bookmarkEnd w:id="142"/>
      <w:bookmarkEnd w:id="143"/>
      <w:bookmarkEnd w:id="144"/>
      <w:bookmarkEnd w:id="145"/>
      <w:r w:rsidRPr="00372619">
        <w:rPr>
          <w:rStyle w:val="Emphasis"/>
          <w:i w:val="0"/>
          <w:iCs w:val="0"/>
        </w:rPr>
        <w:lastRenderedPageBreak/>
        <w:t>Confidential Reports</w:t>
      </w:r>
      <w:bookmarkEnd w:id="146"/>
      <w:bookmarkEnd w:id="147"/>
    </w:p>
    <w:p w:rsidR="00284AEA" w:rsidRDefault="00680814" w:rsidP="005E1479">
      <w:pPr>
        <w:rPr>
          <w:rFonts w:cs="Arial"/>
        </w:rPr>
      </w:pPr>
      <w:r w:rsidRPr="00680814">
        <w:rPr>
          <w:rFonts w:cs="Arial"/>
        </w:rPr>
        <w:t xml:space="preserve">Confidential reports (i.e. those that must not be shared with the broker) are usually received from a third-party by the Lead Agreement Party. In order that these reports can be circulated among carriers and go through the appropriate agreement process; upon receipt of a confidential report Lead </w:t>
      </w:r>
      <w:r w:rsidR="00621120">
        <w:rPr>
          <w:rFonts w:cs="Arial"/>
        </w:rPr>
        <w:t>a</w:t>
      </w:r>
      <w:r w:rsidRPr="00680814">
        <w:rPr>
          <w:rFonts w:cs="Arial"/>
        </w:rPr>
        <w:t>greement Parties should agree the basis of the circulation in accordance with the Lloyd’s Claims Scheme. Lead Agreement Parties should also be aware of circumstances when followers may need to be involved in related market meetings and will therefore need to be made aware of the correspondence (</w:t>
      </w:r>
      <w:r w:rsidR="00CC62EB">
        <w:rPr>
          <w:rFonts w:cs="Arial"/>
        </w:rPr>
        <w:t xml:space="preserve">the “send link” function in </w:t>
      </w:r>
      <w:r w:rsidRPr="00680814">
        <w:rPr>
          <w:rFonts w:cs="Arial"/>
        </w:rPr>
        <w:t>IMR</w:t>
      </w:r>
      <w:r w:rsidR="00CC62EB">
        <w:rPr>
          <w:rFonts w:cs="Arial"/>
        </w:rPr>
        <w:t xml:space="preserve"> &amp; ECF2</w:t>
      </w:r>
      <w:r w:rsidRPr="00680814">
        <w:rPr>
          <w:rFonts w:cs="Arial"/>
        </w:rPr>
        <w:t xml:space="preserve"> is one way of achieving this).</w:t>
      </w:r>
      <w:r w:rsidR="00621120">
        <w:rPr>
          <w:rFonts w:cs="Arial"/>
        </w:rPr>
        <w:t xml:space="preserve"> </w:t>
      </w:r>
      <w:r w:rsidRPr="00680814">
        <w:rPr>
          <w:rFonts w:cs="Arial"/>
        </w:rPr>
        <w:t xml:space="preserve">Lead </w:t>
      </w:r>
      <w:r w:rsidR="00621120">
        <w:rPr>
          <w:rFonts w:cs="Arial"/>
        </w:rPr>
        <w:t>a</w:t>
      </w:r>
      <w:r w:rsidRPr="00680814">
        <w:rPr>
          <w:rFonts w:cs="Arial"/>
        </w:rPr>
        <w:t xml:space="preserve">greement </w:t>
      </w:r>
      <w:r w:rsidR="00621120">
        <w:rPr>
          <w:rFonts w:cs="Arial"/>
        </w:rPr>
        <w:t>p</w:t>
      </w:r>
      <w:r w:rsidRPr="00680814">
        <w:rPr>
          <w:rFonts w:cs="Arial"/>
        </w:rPr>
        <w:t xml:space="preserve">arties </w:t>
      </w:r>
      <w:r w:rsidR="00CC62EB">
        <w:rPr>
          <w:rFonts w:cs="Arial"/>
        </w:rPr>
        <w:t xml:space="preserve">should </w:t>
      </w:r>
      <w:r w:rsidRPr="00680814">
        <w:rPr>
          <w:rFonts w:cs="Arial"/>
        </w:rPr>
        <w:t xml:space="preserve">consider how other markets will be advised of the report; if the other markets do not use the IMR, then existing paper methods for circulation </w:t>
      </w:r>
      <w:r w:rsidRPr="00E6161E">
        <w:rPr>
          <w:rFonts w:cs="Arial"/>
        </w:rPr>
        <w:t>will need to be employed.</w:t>
      </w:r>
    </w:p>
    <w:p w:rsidR="005E1479" w:rsidRDefault="005E1479" w:rsidP="00C14056">
      <w:pPr>
        <w:rPr>
          <w:rFonts w:cs="Arial"/>
        </w:rPr>
      </w:pPr>
      <w:r w:rsidRPr="00C14056">
        <w:rPr>
          <w:rFonts w:cs="Arial"/>
        </w:rPr>
        <w:t xml:space="preserve">Lead </w:t>
      </w:r>
      <w:r w:rsidR="00621120">
        <w:rPr>
          <w:rFonts w:cs="Arial"/>
        </w:rPr>
        <w:t>a</w:t>
      </w:r>
      <w:r w:rsidRPr="00C14056">
        <w:rPr>
          <w:rFonts w:cs="Arial"/>
        </w:rPr>
        <w:t xml:space="preserve">greement </w:t>
      </w:r>
      <w:r w:rsidR="00621120">
        <w:rPr>
          <w:rFonts w:cs="Arial"/>
        </w:rPr>
        <w:t>p</w:t>
      </w:r>
      <w:r w:rsidRPr="00C14056">
        <w:rPr>
          <w:rFonts w:cs="Arial"/>
        </w:rPr>
        <w:t>arties should pass the confidential report to</w:t>
      </w:r>
      <w:r w:rsidR="00E65CFC" w:rsidRPr="00C14056">
        <w:rPr>
          <w:rFonts w:cs="Arial"/>
        </w:rPr>
        <w:t xml:space="preserve"> agreement parties and load to the coverage tab within the IMR</w:t>
      </w:r>
      <w:r w:rsidR="00621120">
        <w:rPr>
          <w:rFonts w:cs="Arial"/>
        </w:rPr>
        <w:t xml:space="preserve"> (see screen shot below) </w:t>
      </w:r>
    </w:p>
    <w:p w:rsidR="00530CF8" w:rsidRPr="00C14056" w:rsidRDefault="00530CF8" w:rsidP="00C14056">
      <w:pPr>
        <w:rPr>
          <w:rFonts w:cs="Arial"/>
        </w:rPr>
      </w:pPr>
    </w:p>
    <w:p w:rsidR="00B24D97" w:rsidRDefault="005D7811" w:rsidP="00D00578">
      <w:pPr>
        <w:rPr>
          <w:rFonts w:cs="Arial"/>
        </w:rPr>
      </w:pPr>
      <w:r>
        <w:rPr>
          <w:rFonts w:cs="Arial"/>
          <w:noProof/>
          <w:lang w:eastAsia="en-GB"/>
        </w:rPr>
        <mc:AlternateContent>
          <mc:Choice Requires="wpc">
            <w:drawing>
              <wp:anchor distT="0" distB="0" distL="114300" distR="114300" simplePos="0" relativeHeight="251660288" behindDoc="0" locked="0" layoutInCell="1" allowOverlap="1" wp14:anchorId="3B100B8E" wp14:editId="71982824">
                <wp:simplePos x="0" y="0"/>
                <wp:positionH relativeFrom="column">
                  <wp:posOffset>1170305</wp:posOffset>
                </wp:positionH>
                <wp:positionV relativeFrom="paragraph">
                  <wp:posOffset>452120</wp:posOffset>
                </wp:positionV>
                <wp:extent cx="1865630" cy="1004570"/>
                <wp:effectExtent l="0" t="0" r="1270" b="0"/>
                <wp:wrapNone/>
                <wp:docPr id="7"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5" name="Group 18"/>
                        <wpg:cNvGrpSpPr>
                          <a:grpSpLocks/>
                        </wpg:cNvGrpSpPr>
                        <wpg:grpSpPr bwMode="auto">
                          <a:xfrm>
                            <a:off x="817631" y="43362"/>
                            <a:ext cx="1024344" cy="547437"/>
                            <a:chOff x="4973" y="7622"/>
                            <a:chExt cx="1220" cy="829"/>
                          </a:xfrm>
                        </wpg:grpSpPr>
                        <wps:wsp>
                          <wps:cNvPr id="36" name="Text Box 19"/>
                          <wps:cNvSpPr txBox="1">
                            <a:spLocks noChangeArrowheads="1"/>
                          </wps:cNvSpPr>
                          <wps:spPr bwMode="auto">
                            <a:xfrm>
                              <a:off x="4973" y="8130"/>
                              <a:ext cx="1220" cy="321"/>
                            </a:xfrm>
                            <a:prstGeom prst="rect">
                              <a:avLst/>
                            </a:prstGeom>
                            <a:solidFill>
                              <a:srgbClr val="FFFFFF"/>
                            </a:solidFill>
                            <a:ln w="12700">
                              <a:solidFill>
                                <a:srgbClr val="FF0000"/>
                              </a:solidFill>
                              <a:miter lim="800000"/>
                              <a:headEnd/>
                              <a:tailEnd/>
                            </a:ln>
                          </wps:spPr>
                          <wps:txbx>
                            <w:txbxContent>
                              <w:p w:rsidR="00E2587F" w:rsidRPr="00F34BF8" w:rsidRDefault="00E2587F" w:rsidP="00067AB0">
                                <w:pPr>
                                  <w:rPr>
                                    <w:color w:val="FF0000"/>
                                    <w:sz w:val="18"/>
                                    <w:szCs w:val="18"/>
                                  </w:rPr>
                                </w:pPr>
                                <w:r w:rsidRPr="00F34BF8">
                                  <w:rPr>
                                    <w:color w:val="FF0000"/>
                                    <w:sz w:val="18"/>
                                    <w:szCs w:val="18"/>
                                  </w:rPr>
                                  <w:t>Classifications</w:t>
                                </w:r>
                              </w:p>
                            </w:txbxContent>
                          </wps:txbx>
                          <wps:bodyPr rot="0" vert="horz" wrap="square" lIns="91440" tIns="45720" rIns="91440" bIns="45720" anchor="t" anchorCtr="0" upright="1">
                            <a:noAutofit/>
                          </wps:bodyPr>
                        </wps:wsp>
                        <wps:wsp>
                          <wps:cNvPr id="37" name="AutoShape 20"/>
                          <wps:cNvCnPr/>
                          <wps:spPr bwMode="auto">
                            <a:xfrm flipH="1" flipV="1">
                              <a:off x="5575" y="7622"/>
                              <a:ext cx="15" cy="508"/>
                            </a:xfrm>
                            <a:prstGeom prst="straightConnector1">
                              <a:avLst/>
                            </a:prstGeom>
                            <a:noFill/>
                            <a:ln w="12700">
                              <a:solidFill>
                                <a:srgbClr val="FF0000"/>
                              </a:solidFill>
                              <a:round/>
                              <a:headEnd/>
                              <a:tailEnd type="triangle" w="lg"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16" o:spid="_x0000_s1026" editas="canvas" style="position:absolute;left:0;text-align:left;margin-left:92.15pt;margin-top:35.6pt;width:146.9pt;height:79.1pt;z-index:251660288" coordsize="18656,1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">
                <v:shape id="_x0000_s1027" type="#_x0000_t75" style="position:absolute;width:18656;height:10045;visibility:visible;mso-wrap-style:square">
                  <v:fill o:detectmouseclick="t"/>
                  <v:path o:connecttype="none"/>
                </v:shape>
                <v:group id="Group 18" o:spid="_x0000_s1028" style="position:absolute;left:8176;top:433;width:10243;height:5474" coordorigin="4973,7622" coordsize="1220,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202" coordsize="21600,21600" o:spt="202" path="m,l,21600r21600,l21600,xe">
                    <v:stroke joinstyle="miter"/>
                    <v:path gradientshapeok="t" o:connecttype="rect"/>
                  </v:shapetype>
                  <v:shape id="Text Box 19" o:spid="_x0000_s1029" type="#_x0000_t202" style="position:absolute;left:4973;top:8130;width:122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TVcQA&#10;AADbAAAADwAAAGRycy9kb3ducmV2LnhtbESPQWvCQBSE74L/YXkFL6FuakA0ugkitFioglrw+si+&#10;JiHZtyG71fjvuwXB4zAz3zDrfDCtuFLvassK3qYxCOLC6ppLBd/n99cFCOeRNbaWScGdHOTZeLTG&#10;VNsbH+l68qUIEHYpKqi871IpXVGRQTe1HXHwfmxv0AfZl1L3eAtw08pZHM+lwZrDQoUdbSsqmtOv&#10;UWCOh+W+K6Kkab7cp3UbHX1clkpNXobNCoSnwT/Dj/ZOK0jm8P8l/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U1XEAAAA2wAAAA8AAAAAAAAAAAAAAAAAmAIAAGRycy9k&#10;b3ducmV2LnhtbFBLBQYAAAAABAAEAPUAAACJAwAAAAA=&#10;" strokecolor="red" strokeweight="1pt">
                    <v:textbox>
                      <w:txbxContent>
                        <w:p w:rsidR="00E2587F" w:rsidRPr="00F34BF8" w:rsidRDefault="00E2587F" w:rsidP="00067AB0">
                          <w:pPr>
                            <w:rPr>
                              <w:color w:val="FF0000"/>
                              <w:sz w:val="18"/>
                              <w:szCs w:val="18"/>
                            </w:rPr>
                          </w:pPr>
                          <w:r w:rsidRPr="00F34BF8">
                            <w:rPr>
                              <w:color w:val="FF0000"/>
                              <w:sz w:val="18"/>
                              <w:szCs w:val="18"/>
                            </w:rPr>
                            <w:t>Classifications</w:t>
                          </w:r>
                        </w:p>
                      </w:txbxContent>
                    </v:textbox>
                  </v:shape>
                  <v:shapetype id="_x0000_t32" coordsize="21600,21600" o:spt="32" o:oned="t" path="m,l21600,21600e" filled="f">
                    <v:path arrowok="t" fillok="f" o:connecttype="none"/>
                    <o:lock v:ext="edit" shapetype="t"/>
                  </v:shapetype>
                  <v:shape id="AutoShape 20" o:spid="_x0000_s1030" type="#_x0000_t32" style="position:absolute;left:5575;top:7622;width:15;height:5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4bnsIAAADbAAAADwAAAGRycy9kb3ducmV2LnhtbESP3YrCMBSE7xd8h3AE79ZExbVUo6ig&#10;CMte+PMAh+bYFpuT2kStb28WBC+HmfmGmS1aW4k7Nb50rGHQVyCIM2dKzjWcjpvvBIQPyAYrx6Th&#10;SR4W887XDFPjHryn+yHkIkLYp6ihCKFOpfRZQRZ939XE0Tu7xmKIssmlafAR4baSQ6V+pMWS40KB&#10;Na0Lyi6Hm9WgnrvfbXLm0W2lrOFkXF7/qrXWvW67nIII1IZP+N3eGQ2jCfx/iT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4bnsIAAADbAAAADwAAAAAAAAAAAAAA&#10;AAChAgAAZHJzL2Rvd25yZXYueG1sUEsFBgAAAAAEAAQA+QAAAJADAAAAAA==&#10;" strokecolor="red" strokeweight="1pt">
                    <v:stroke endarrow="block" endarrowwidth="wide"/>
                  </v:shape>
                </v:group>
              </v:group>
            </w:pict>
          </mc:Fallback>
        </mc:AlternateContent>
      </w:r>
      <w:r w:rsidR="00F82629">
        <w:rPr>
          <w:rFonts w:cs="Arial"/>
          <w:noProof/>
          <w:lang w:eastAsia="en-GB"/>
        </w:rPr>
        <w:drawing>
          <wp:inline distT="0" distB="0" distL="0" distR="0" wp14:anchorId="7548D9F2" wp14:editId="06DE1646">
            <wp:extent cx="5498190" cy="3009900"/>
            <wp:effectExtent l="0" t="0" r="762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498190" cy="3009900"/>
                    </a:xfrm>
                    <a:prstGeom prst="rect">
                      <a:avLst/>
                    </a:prstGeom>
                    <a:noFill/>
                    <a:ln w="9525">
                      <a:noFill/>
                      <a:miter lim="800000"/>
                      <a:headEnd/>
                      <a:tailEnd/>
                    </a:ln>
                  </pic:spPr>
                </pic:pic>
              </a:graphicData>
            </a:graphic>
          </wp:inline>
        </w:drawing>
      </w:r>
    </w:p>
    <w:p w:rsidR="00B24D97" w:rsidRPr="00530CF8" w:rsidRDefault="00B24D97" w:rsidP="00D435A6">
      <w:pPr>
        <w:pStyle w:val="Heading3"/>
      </w:pPr>
      <w:bookmarkStart w:id="148" w:name="_Toc389214818"/>
      <w:bookmarkStart w:id="149" w:name="_Toc396989144"/>
      <w:bookmarkEnd w:id="135"/>
      <w:r w:rsidRPr="00530CF8">
        <w:t>‘Warnings’ Section</w:t>
      </w:r>
      <w:bookmarkEnd w:id="148"/>
      <w:bookmarkEnd w:id="149"/>
    </w:p>
    <w:p w:rsidR="00B24D97" w:rsidRDefault="00B24D97" w:rsidP="00C14056">
      <w:pPr>
        <w:pStyle w:val="Heading4"/>
        <w:numPr>
          <w:ilvl w:val="0"/>
          <w:numId w:val="0"/>
        </w:numPr>
        <w:rPr>
          <w:rFonts w:cs="Arial"/>
          <w:b w:val="0"/>
        </w:rPr>
      </w:pPr>
      <w:bookmarkStart w:id="150" w:name="_Toc389214819"/>
      <w:r w:rsidRPr="00530CF8">
        <w:rPr>
          <w:rFonts w:cs="Arial"/>
          <w:b w:val="0"/>
        </w:rPr>
        <w:t>The warnings section is only displayed if there are warnings relating to the current UCR/TR combination (e.g. where date of loss is outside of the range of the original UMR).</w:t>
      </w:r>
      <w:bookmarkEnd w:id="150"/>
    </w:p>
    <w:p w:rsidR="00B24D97" w:rsidRPr="00C14056" w:rsidRDefault="00B24D97" w:rsidP="00C14056">
      <w:pPr>
        <w:pStyle w:val="Heading3"/>
        <w:rPr>
          <w:rFonts w:cs="Arial"/>
        </w:rPr>
      </w:pPr>
      <w:bookmarkStart w:id="151" w:name="_Toc390092779"/>
      <w:bookmarkStart w:id="152" w:name="_Toc390093140"/>
      <w:bookmarkStart w:id="153" w:name="_Toc390094181"/>
      <w:bookmarkStart w:id="154" w:name="_Toc390094324"/>
      <w:bookmarkStart w:id="155" w:name="_Toc390094467"/>
      <w:bookmarkStart w:id="156" w:name="_Toc390094613"/>
      <w:bookmarkStart w:id="157" w:name="_Toc390094756"/>
      <w:bookmarkStart w:id="158" w:name="_Toc118011235"/>
      <w:bookmarkStart w:id="159" w:name="_Toc118011236"/>
      <w:bookmarkStart w:id="160" w:name="_Toc118011237"/>
      <w:bookmarkStart w:id="161" w:name="_Toc118011242"/>
      <w:bookmarkStart w:id="162" w:name="_Toc118011243"/>
      <w:bookmarkStart w:id="163" w:name="_Toc118011244"/>
      <w:bookmarkStart w:id="164" w:name="_Toc118011246"/>
      <w:bookmarkStart w:id="165" w:name="_Toc118011247"/>
      <w:bookmarkStart w:id="166" w:name="_Toc118011248"/>
      <w:bookmarkStart w:id="167" w:name="_Toc118011249"/>
      <w:bookmarkStart w:id="168" w:name="_Toc118011250"/>
      <w:bookmarkStart w:id="169" w:name="_Toc112226838"/>
      <w:bookmarkStart w:id="170" w:name="_Toc389214820"/>
      <w:bookmarkStart w:id="171" w:name="_Toc39698914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C14056">
        <w:rPr>
          <w:rFonts w:cs="Arial"/>
        </w:rPr>
        <w:t>Consult with other Parties</w:t>
      </w:r>
      <w:bookmarkEnd w:id="169"/>
      <w:bookmarkEnd w:id="170"/>
      <w:bookmarkEnd w:id="171"/>
    </w:p>
    <w:p w:rsidR="00B24D97" w:rsidRDefault="00B57D6B" w:rsidP="00D83B64">
      <w:pPr>
        <w:rPr>
          <w:rFonts w:cs="Arial"/>
        </w:rPr>
      </w:pPr>
      <w:r w:rsidRPr="00C14056">
        <w:rPr>
          <w:rFonts w:cs="Arial"/>
        </w:rPr>
        <w:t>Where c</w:t>
      </w:r>
      <w:r w:rsidR="00B24D97" w:rsidRPr="00C14056">
        <w:rPr>
          <w:rFonts w:cs="Arial"/>
        </w:rPr>
        <w:t xml:space="preserve">onsultation </w:t>
      </w:r>
      <w:r w:rsidR="00621120">
        <w:rPr>
          <w:rFonts w:cs="Arial"/>
        </w:rPr>
        <w:t xml:space="preserve">has occurred </w:t>
      </w:r>
      <w:r w:rsidR="00B24D97" w:rsidRPr="00C14056">
        <w:rPr>
          <w:rFonts w:cs="Arial"/>
        </w:rPr>
        <w:t xml:space="preserve">with </w:t>
      </w:r>
      <w:r w:rsidR="00621120">
        <w:rPr>
          <w:rFonts w:cs="Arial"/>
        </w:rPr>
        <w:t>a</w:t>
      </w:r>
      <w:r w:rsidR="00B24D97" w:rsidRPr="00C14056">
        <w:rPr>
          <w:rFonts w:cs="Arial"/>
        </w:rPr>
        <w:t xml:space="preserve">greement </w:t>
      </w:r>
      <w:r w:rsidR="00621120">
        <w:rPr>
          <w:rFonts w:cs="Arial"/>
        </w:rPr>
        <w:t>p</w:t>
      </w:r>
      <w:r w:rsidR="00B24D97" w:rsidRPr="00C14056">
        <w:rPr>
          <w:rFonts w:cs="Arial"/>
        </w:rPr>
        <w:t>arties</w:t>
      </w:r>
      <w:r w:rsidR="00621120">
        <w:rPr>
          <w:rFonts w:cs="Arial"/>
        </w:rPr>
        <w:t>,</w:t>
      </w:r>
      <w:r w:rsidR="00B24D97" w:rsidRPr="00C14056">
        <w:rPr>
          <w:rFonts w:cs="Arial"/>
        </w:rPr>
        <w:t xml:space="preserve"> conducted via email, telephone or face-to-face. A</w:t>
      </w:r>
      <w:r w:rsidR="00B24D97" w:rsidRPr="00D64309">
        <w:rPr>
          <w:rFonts w:cs="Arial"/>
        </w:rPr>
        <w:t xml:space="preserve"> relevant record of the consultation should be loaded to the </w:t>
      </w:r>
      <w:r w:rsidR="00621120">
        <w:rPr>
          <w:rFonts w:cs="Arial"/>
        </w:rPr>
        <w:t xml:space="preserve">IMR </w:t>
      </w:r>
      <w:r w:rsidR="00B24D97" w:rsidRPr="00D64309">
        <w:rPr>
          <w:rFonts w:cs="Arial"/>
        </w:rPr>
        <w:t>in order to maintain a proper file and audit trail</w:t>
      </w:r>
      <w:r>
        <w:rPr>
          <w:rFonts w:cs="Arial"/>
        </w:rPr>
        <w:t xml:space="preserve"> if appropriate.</w:t>
      </w:r>
    </w:p>
    <w:p w:rsidR="00530CF8" w:rsidRPr="005D6535" w:rsidRDefault="00530CF8" w:rsidP="00530CF8">
      <w:pPr>
        <w:pStyle w:val="Heading2"/>
      </w:pPr>
      <w:bookmarkStart w:id="172" w:name="_Claims_Process_Involving"/>
      <w:bookmarkStart w:id="173" w:name="_Toc396989146"/>
      <w:bookmarkEnd w:id="172"/>
      <w:r w:rsidRPr="005D6535">
        <w:t>Claims Process Involving a “Query/Return” Response</w:t>
      </w:r>
      <w:bookmarkEnd w:id="173"/>
    </w:p>
    <w:p w:rsidR="00530CF8" w:rsidRPr="00B92C05" w:rsidRDefault="00530CF8" w:rsidP="00530CF8">
      <w:r>
        <w:rPr>
          <w:rFonts w:cs="Arial"/>
        </w:rPr>
        <w:t>T</w:t>
      </w:r>
      <w:r w:rsidRPr="00B92C05">
        <w:rPr>
          <w:rFonts w:cs="Arial"/>
        </w:rPr>
        <w:t xml:space="preserve">here will only be notification to the Lead Agreement Party if the transaction is re-released triggering an event within CWT. If the broker decides not to re-release the queried TR the broker </w:t>
      </w:r>
      <w:r w:rsidRPr="00B92C05">
        <w:rPr>
          <w:rFonts w:cs="Arial"/>
          <w:b/>
        </w:rPr>
        <w:t>must</w:t>
      </w:r>
      <w:r w:rsidRPr="00B92C05">
        <w:rPr>
          <w:rFonts w:cs="Arial"/>
        </w:rPr>
        <w:t xml:space="preserve"> advise the Lead Agreement Party of the new documents via means outside of ECF (e.g. telephone, email, etc.). The Lead Agreement Party may then amend their response if it is appropriate to do so after reviewing the response to the query.</w:t>
      </w:r>
    </w:p>
    <w:p w:rsidR="00530CF8" w:rsidRPr="00B92C05" w:rsidRDefault="00530CF8" w:rsidP="00530CF8">
      <w:pPr>
        <w:pStyle w:val="Bullets"/>
        <w:spacing w:after="120"/>
        <w:rPr>
          <w:rFonts w:cs="Arial"/>
        </w:rPr>
      </w:pPr>
      <w:r w:rsidRPr="00B92C05">
        <w:rPr>
          <w:rFonts w:cs="Arial"/>
        </w:rPr>
        <w:t xml:space="preserve">When a </w:t>
      </w:r>
      <w:r w:rsidRPr="00B92C05">
        <w:rPr>
          <w:rFonts w:cs="Arial"/>
          <w:b/>
        </w:rPr>
        <w:t>Lead Agreement Party</w:t>
      </w:r>
      <w:r w:rsidRPr="00B92C05">
        <w:rPr>
          <w:rFonts w:cs="Arial"/>
        </w:rPr>
        <w:t xml:space="preserve"> enters a response of Query/Return and the broker wishes to deal with that query by providing the Lead Agreement Party with additional documentation; the broker may load the additional documents to the IMR under the same tra</w:t>
      </w:r>
      <w:r>
        <w:rPr>
          <w:rFonts w:cs="Arial"/>
        </w:rPr>
        <w:t>nsaction.</w:t>
      </w:r>
    </w:p>
    <w:p w:rsidR="00530CF8" w:rsidRPr="00A63C75" w:rsidRDefault="00530CF8" w:rsidP="00530CF8">
      <w:pPr>
        <w:pStyle w:val="Bullets"/>
        <w:spacing w:after="120"/>
        <w:rPr>
          <w:rFonts w:cs="Arial"/>
        </w:rPr>
      </w:pPr>
      <w:r w:rsidRPr="00A63C75">
        <w:rPr>
          <w:rFonts w:cs="Arial"/>
        </w:rPr>
        <w:lastRenderedPageBreak/>
        <w:t xml:space="preserve">When a </w:t>
      </w:r>
      <w:r w:rsidRPr="00A63C75">
        <w:rPr>
          <w:rFonts w:cs="Arial"/>
          <w:b/>
        </w:rPr>
        <w:t>Lead Agreement Party</w:t>
      </w:r>
      <w:r w:rsidRPr="00A63C75">
        <w:rPr>
          <w:rFonts w:cs="Arial"/>
        </w:rPr>
        <w:t xml:space="preserve"> enters a response of Query/Return but the query </w:t>
      </w:r>
      <w:r w:rsidRPr="00A63C75">
        <w:rPr>
          <w:rFonts w:cs="Arial"/>
          <w:b/>
        </w:rPr>
        <w:t>cannot</w:t>
      </w:r>
      <w:r w:rsidRPr="00A63C75">
        <w:rPr>
          <w:rFonts w:cs="Arial"/>
        </w:rPr>
        <w:t xml:space="preserve"> be dealt with by simply providing additional documentation, the broker </w:t>
      </w:r>
      <w:r w:rsidRPr="00A63C75">
        <w:rPr>
          <w:rFonts w:cs="Arial"/>
          <w:b/>
        </w:rPr>
        <w:t>must</w:t>
      </w:r>
      <w:r w:rsidRPr="00A63C75">
        <w:rPr>
          <w:rFonts w:cs="Arial"/>
        </w:rPr>
        <w:t xml:space="preserve"> act upon that query, and/or supply all new documentation, under an amended or replacement transaction. The Lead Agreement Party may then select a new response on the amended or replaced transaction.</w:t>
      </w:r>
    </w:p>
    <w:p w:rsidR="00530CF8" w:rsidRDefault="00530CF8" w:rsidP="00530CF8">
      <w:pPr>
        <w:pStyle w:val="Bullets"/>
        <w:spacing w:after="120"/>
        <w:rPr>
          <w:rFonts w:cs="Arial"/>
        </w:rPr>
      </w:pPr>
      <w:r w:rsidRPr="003D7FCE">
        <w:rPr>
          <w:rFonts w:cs="Arial"/>
        </w:rPr>
        <w:t xml:space="preserve">Brokers should also be aware of the additional steps required if the nature of the query or correction requires the UCR to change (for example, a change to the UMR, OSND and market will necessitate a new UCR), these are detailed </w:t>
      </w:r>
      <w:r w:rsidRPr="002C242B">
        <w:rPr>
          <w:rFonts w:cs="Arial"/>
        </w:rPr>
        <w:t xml:space="preserve">in </w:t>
      </w:r>
      <w:r w:rsidRPr="000E187E">
        <w:rPr>
          <w:rFonts w:cs="Arial"/>
        </w:rPr>
        <w:t>section</w:t>
      </w:r>
      <w:r w:rsidR="000E187E">
        <w:rPr>
          <w:rFonts w:cs="Arial"/>
        </w:rPr>
        <w:t xml:space="preserve"> </w:t>
      </w:r>
      <w:hyperlink w:anchor="_Corrections" w:history="1">
        <w:r w:rsidR="000E187E" w:rsidRPr="000E187E">
          <w:rPr>
            <w:rStyle w:val="Hyperlink"/>
            <w:rFonts w:cs="Arial"/>
          </w:rPr>
          <w:t>2.24</w:t>
        </w:r>
      </w:hyperlink>
      <w:r w:rsidRPr="000E187E">
        <w:rPr>
          <w:rFonts w:cs="Arial"/>
        </w:rPr>
        <w:t>;</w:t>
      </w:r>
      <w:r w:rsidRPr="003D7FCE">
        <w:rPr>
          <w:rFonts w:cs="Arial"/>
        </w:rPr>
        <w:t xml:space="preserve"> or when a correction is required on a claim created prior to the date of this document (i.e. during Phase 5 of ECF)</w:t>
      </w:r>
      <w:r>
        <w:rPr>
          <w:rFonts w:cs="Arial"/>
        </w:rPr>
        <w:t>.</w:t>
      </w:r>
    </w:p>
    <w:p w:rsidR="00530CF8" w:rsidRPr="003D7FCE" w:rsidRDefault="00530CF8" w:rsidP="00530CF8">
      <w:pPr>
        <w:pStyle w:val="Bullets"/>
        <w:spacing w:after="120"/>
        <w:rPr>
          <w:rFonts w:cs="Arial"/>
        </w:rPr>
      </w:pPr>
      <w:r>
        <w:rPr>
          <w:rFonts w:cs="Arial"/>
        </w:rPr>
        <w:t>It should be noted that a lead cannot respond to a TR that has been loaded subsequent to a TR that remains in a queried status.</w:t>
      </w:r>
    </w:p>
    <w:p w:rsidR="00530CF8" w:rsidRPr="00D64309" w:rsidRDefault="00530CF8" w:rsidP="00530CF8">
      <w:pPr>
        <w:rPr>
          <w:rFonts w:cs="Arial"/>
        </w:rPr>
      </w:pPr>
      <w:r w:rsidRPr="00B92C05">
        <w:rPr>
          <w:rFonts w:cs="Arial"/>
          <w:b/>
        </w:rPr>
        <w:t>Note:</w:t>
      </w:r>
      <w:r w:rsidRPr="00B92C05">
        <w:rPr>
          <w:rFonts w:cs="Arial"/>
        </w:rPr>
        <w:t xml:space="preserve"> Here and elsewhere in this document and on the system, “Date of Loss” does not reflect any determination and is used only for identification The broker should not enter a future date as the “Date of Loss”. Where an incorrect “Date of Loss” has been entered on the CLASS transaction, the Leader in the first instance will contact and liaise with the broker who will amend and re-submit the correction within an acceptable timeframe to all parties, if this amendment is not made the lead will “Query/Return” the transaction and request amendment by the broker. If the error is identified by the 2</w:t>
      </w:r>
      <w:r w:rsidRPr="00B92C05">
        <w:rPr>
          <w:rFonts w:cs="Arial"/>
          <w:vertAlign w:val="superscript"/>
        </w:rPr>
        <w:t>nd</w:t>
      </w:r>
      <w:r w:rsidRPr="00B92C05">
        <w:rPr>
          <w:rFonts w:cs="Arial"/>
        </w:rPr>
        <w:t xml:space="preserve"> agreement party or XCS any liaison should occur with the lead and broker prior to a “Query/Return” submission.</w:t>
      </w:r>
    </w:p>
    <w:p w:rsidR="00530CF8" w:rsidRPr="00A63C75" w:rsidRDefault="00530CF8" w:rsidP="00530CF8">
      <w:pPr>
        <w:pStyle w:val="Heading3"/>
        <w:tabs>
          <w:tab w:val="num" w:pos="851"/>
        </w:tabs>
        <w:rPr>
          <w:lang w:eastAsia="en-GB"/>
        </w:rPr>
      </w:pPr>
      <w:bookmarkStart w:id="174" w:name="_Toc396989147"/>
      <w:r w:rsidRPr="00A63C75">
        <w:rPr>
          <w:lang w:eastAsia="en-GB"/>
        </w:rPr>
        <w:t>Query Reason Indicator in ECF2:</w:t>
      </w:r>
      <w:bookmarkEnd w:id="174"/>
    </w:p>
    <w:p w:rsidR="00530CF8" w:rsidRDefault="00530CF8" w:rsidP="00530CF8">
      <w:pPr>
        <w:spacing w:after="0"/>
        <w:jc w:val="left"/>
        <w:rPr>
          <w:rFonts w:cs="Arial"/>
          <w:lang w:eastAsia="en-GB"/>
        </w:rPr>
      </w:pPr>
      <w:r w:rsidRPr="00A63C75">
        <w:rPr>
          <w:rFonts w:cs="Arial"/>
          <w:lang w:eastAsia="en-GB"/>
        </w:rPr>
        <w:t>For ECF2 users, the Claims Agreement Screens (CAS), displays a Query Reason indicator whenever a response of “Query/Return” is entered. The following steps must be followed:</w:t>
      </w:r>
    </w:p>
    <w:p w:rsidR="00530CF8" w:rsidRPr="00A63C75" w:rsidRDefault="00530CF8" w:rsidP="00530CF8">
      <w:pPr>
        <w:spacing w:after="0"/>
        <w:jc w:val="left"/>
        <w:rPr>
          <w:rFonts w:cs="Arial"/>
          <w:sz w:val="24"/>
          <w:szCs w:val="24"/>
          <w:lang w:eastAsia="en-GB"/>
        </w:rPr>
      </w:pPr>
    </w:p>
    <w:p w:rsidR="00530CF8" w:rsidRPr="00A63C75" w:rsidRDefault="00530CF8" w:rsidP="00530CF8">
      <w:pPr>
        <w:pStyle w:val="Bullets"/>
        <w:rPr>
          <w:sz w:val="24"/>
          <w:szCs w:val="24"/>
          <w:lang w:eastAsia="en-GB"/>
        </w:rPr>
      </w:pPr>
      <w:r w:rsidRPr="00A63C75">
        <w:rPr>
          <w:lang w:eastAsia="en-GB"/>
        </w:rPr>
        <w:t xml:space="preserve">Full details of the query </w:t>
      </w:r>
      <w:r w:rsidRPr="00A63C75">
        <w:rPr>
          <w:b/>
          <w:bCs/>
          <w:lang w:eastAsia="en-GB"/>
        </w:rPr>
        <w:t>must</w:t>
      </w:r>
      <w:r w:rsidRPr="00A63C75">
        <w:rPr>
          <w:lang w:eastAsia="en-GB"/>
        </w:rPr>
        <w:t xml:space="preserve"> be entered into the Public Comments, as per the steps above.</w:t>
      </w:r>
    </w:p>
    <w:p w:rsidR="00530CF8" w:rsidRPr="00A63C75" w:rsidRDefault="00530CF8" w:rsidP="00530CF8">
      <w:pPr>
        <w:pStyle w:val="Bullets"/>
        <w:rPr>
          <w:sz w:val="24"/>
          <w:szCs w:val="24"/>
          <w:lang w:eastAsia="en-GB"/>
        </w:rPr>
      </w:pPr>
      <w:r w:rsidRPr="00A63C75">
        <w:rPr>
          <w:lang w:eastAsia="en-GB"/>
        </w:rPr>
        <w:t>Click on the “Add/Amend Query Reasons” link (an error message will be displayed if “Submit” is clicked without entering any Query Reasons).</w:t>
      </w:r>
    </w:p>
    <w:p w:rsidR="00530CF8" w:rsidRPr="00A63C75" w:rsidRDefault="00530CF8" w:rsidP="00530CF8">
      <w:pPr>
        <w:pStyle w:val="Bullets"/>
        <w:rPr>
          <w:sz w:val="24"/>
          <w:szCs w:val="24"/>
          <w:lang w:eastAsia="en-GB"/>
        </w:rPr>
      </w:pPr>
      <w:r w:rsidRPr="00A63C75">
        <w:rPr>
          <w:lang w:eastAsia="en-GB"/>
        </w:rPr>
        <w:t xml:space="preserve">Within the pop-up window select the Query Reason(s) applicable to the query raised on the transaction. Please note that multiple reasons may be entered, up to a maximum of ten. </w:t>
      </w:r>
    </w:p>
    <w:p w:rsidR="00530CF8" w:rsidRPr="00A63C75" w:rsidRDefault="00530CF8" w:rsidP="00530CF8">
      <w:pPr>
        <w:pStyle w:val="Bullets"/>
        <w:rPr>
          <w:sz w:val="24"/>
          <w:szCs w:val="24"/>
          <w:lang w:eastAsia="en-GB"/>
        </w:rPr>
      </w:pPr>
      <w:r w:rsidRPr="00A63C75">
        <w:rPr>
          <w:lang w:eastAsia="en-GB"/>
        </w:rPr>
        <w:t>Click on “Confirm” when all relevant reasons have been selected. An error message will be displayed if “Confirm” is selected without any Query Reasons being selected. Once confirmed, the Query Reasons will be displayed on the “Lloyd’s Response” screen</w:t>
      </w:r>
    </w:p>
    <w:p w:rsidR="00530CF8" w:rsidRDefault="00530CF8" w:rsidP="00530CF8">
      <w:pPr>
        <w:pStyle w:val="Bullets"/>
        <w:rPr>
          <w:lang w:eastAsia="en-GB"/>
        </w:rPr>
      </w:pPr>
      <w:r w:rsidRPr="00A63C75">
        <w:rPr>
          <w:lang w:eastAsia="en-GB"/>
        </w:rPr>
        <w:t>Click on “Submit”</w:t>
      </w:r>
    </w:p>
    <w:p w:rsidR="00530CF8" w:rsidRDefault="00530CF8" w:rsidP="00530CF8">
      <w:pPr>
        <w:pStyle w:val="Bullets"/>
        <w:rPr>
          <w:lang w:eastAsia="en-GB"/>
        </w:rPr>
      </w:pPr>
      <w:r w:rsidRPr="00A63C75">
        <w:rPr>
          <w:lang w:eastAsia="en-GB"/>
        </w:rPr>
        <w:t>“</w:t>
      </w:r>
      <w:r>
        <w:rPr>
          <w:lang w:eastAsia="en-GB"/>
        </w:rPr>
        <w:t>Other</w:t>
      </w:r>
      <w:r w:rsidRPr="00A63C75">
        <w:rPr>
          <w:lang w:eastAsia="en-GB"/>
        </w:rPr>
        <w:t>”</w:t>
      </w:r>
      <w:r>
        <w:rPr>
          <w:lang w:eastAsia="en-GB"/>
        </w:rPr>
        <w:t xml:space="preserve"> as a query reason should be the selected as a last resort where no other query reasons are applicable. When ‘’Other’’ is selected please add supporting narrative within public and private comment fields.</w:t>
      </w:r>
    </w:p>
    <w:p w:rsidR="00530CF8" w:rsidRDefault="00530CF8" w:rsidP="00530CF8">
      <w:pPr>
        <w:pStyle w:val="Bullets"/>
        <w:numPr>
          <w:ilvl w:val="0"/>
          <w:numId w:val="0"/>
        </w:numPr>
        <w:ind w:left="397"/>
        <w:rPr>
          <w:lang w:eastAsia="en-GB"/>
        </w:rPr>
      </w:pPr>
    </w:p>
    <w:p w:rsidR="00530CF8" w:rsidRPr="00A63C75" w:rsidRDefault="00530CF8" w:rsidP="00530CF8">
      <w:pPr>
        <w:pStyle w:val="Heading4"/>
        <w:rPr>
          <w:lang w:eastAsia="en-GB"/>
        </w:rPr>
      </w:pPr>
      <w:r w:rsidRPr="00EF0D65">
        <w:t>Query</w:t>
      </w:r>
      <w:r w:rsidRPr="00A63C75">
        <w:rPr>
          <w:lang w:eastAsia="en-GB"/>
        </w:rPr>
        <w:t xml:space="preserve"> Reasons:</w:t>
      </w:r>
    </w:p>
    <w:p w:rsidR="00530CF8" w:rsidRPr="00A63C75" w:rsidRDefault="00530CF8" w:rsidP="00530CF8">
      <w:pPr>
        <w:rPr>
          <w:rFonts w:cs="Arial"/>
          <w:lang w:eastAsia="en-GB"/>
        </w:rPr>
      </w:pPr>
      <w:r>
        <w:rPr>
          <w:rFonts w:cs="Arial"/>
          <w:lang w:eastAsia="en-GB"/>
        </w:rPr>
        <w:t>Below are the 1</w:t>
      </w:r>
      <w:r w:rsidRPr="00A63C75">
        <w:rPr>
          <w:rFonts w:cs="Arial"/>
          <w:lang w:eastAsia="en-GB"/>
        </w:rPr>
        <w:t>2 query reasons available within this indicator.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07"/>
      </w:tblGrid>
      <w:tr w:rsidR="00530CF8" w:rsidRPr="00260894" w:rsidTr="00530CF8">
        <w:trPr>
          <w:trHeight w:val="374"/>
        </w:trPr>
        <w:tc>
          <w:tcPr>
            <w:tcW w:w="4068" w:type="dxa"/>
            <w:tcBorders>
              <w:bottom w:val="single" w:sz="4" w:space="0" w:color="auto"/>
              <w:right w:val="single" w:sz="6" w:space="0" w:color="auto"/>
            </w:tcBorders>
            <w:shd w:val="clear" w:color="auto" w:fill="BFBFBF" w:themeFill="background1" w:themeFillShade="BF"/>
          </w:tcPr>
          <w:p w:rsidR="00530CF8" w:rsidRPr="00BC3529" w:rsidRDefault="00530CF8" w:rsidP="00530CF8">
            <w:pPr>
              <w:spacing w:before="120" w:after="120"/>
              <w:rPr>
                <w:rFonts w:cs="Arial"/>
                <w:b/>
              </w:rPr>
            </w:pPr>
            <w:r w:rsidRPr="00BC3529">
              <w:rPr>
                <w:rFonts w:cs="Arial"/>
                <w:b/>
              </w:rPr>
              <w:t>Query Reason</w:t>
            </w:r>
          </w:p>
        </w:tc>
        <w:tc>
          <w:tcPr>
            <w:tcW w:w="5107" w:type="dxa"/>
            <w:tcBorders>
              <w:left w:val="single" w:sz="6" w:space="0" w:color="auto"/>
              <w:bottom w:val="single" w:sz="4" w:space="0" w:color="auto"/>
            </w:tcBorders>
            <w:shd w:val="clear" w:color="auto" w:fill="BFBFBF" w:themeFill="background1" w:themeFillShade="BF"/>
          </w:tcPr>
          <w:p w:rsidR="00530CF8" w:rsidRPr="00BC3529" w:rsidRDefault="00530CF8" w:rsidP="00530CF8">
            <w:pPr>
              <w:tabs>
                <w:tab w:val="center" w:pos="4153"/>
                <w:tab w:val="right" w:pos="8306"/>
              </w:tabs>
              <w:spacing w:before="120" w:after="120"/>
              <w:rPr>
                <w:rFonts w:cs="Arial"/>
                <w:b/>
              </w:rPr>
            </w:pPr>
            <w:r w:rsidRPr="00BC3529">
              <w:rPr>
                <w:rFonts w:cs="Arial"/>
                <w:b/>
              </w:rPr>
              <w:t xml:space="preserve">Scenarios </w:t>
            </w:r>
          </w:p>
        </w:tc>
      </w:tr>
      <w:tr w:rsidR="00530CF8" w:rsidRPr="00260894" w:rsidTr="00530CF8">
        <w:trPr>
          <w:trHeight w:val="734"/>
        </w:trPr>
        <w:tc>
          <w:tcPr>
            <w:tcW w:w="4068" w:type="dxa"/>
            <w:tcBorders>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 w:val="center" w:pos="4153"/>
                <w:tab w:val="right" w:pos="8306"/>
              </w:tabs>
              <w:spacing w:before="120" w:after="120" w:line="240" w:lineRule="auto"/>
              <w:ind w:left="426" w:hanging="426"/>
              <w:rPr>
                <w:rFonts w:ascii="Arial" w:hAnsi="Arial" w:cs="Arial"/>
                <w:sz w:val="20"/>
                <w:szCs w:val="20"/>
              </w:rPr>
            </w:pPr>
            <w:r w:rsidRPr="00AE12D8">
              <w:rPr>
                <w:rFonts w:ascii="Arial" w:hAnsi="Arial" w:cs="Arial"/>
                <w:sz w:val="20"/>
                <w:szCs w:val="20"/>
              </w:rPr>
              <w:t>Missing/Unreadable policy or contract documents</w:t>
            </w:r>
          </w:p>
        </w:tc>
        <w:tc>
          <w:tcPr>
            <w:tcW w:w="5107" w:type="dxa"/>
            <w:tcBorders>
              <w:left w:val="single" w:sz="6" w:space="0" w:color="auto"/>
              <w:bottom w:val="single" w:sz="6" w:space="0" w:color="auto"/>
            </w:tcBorders>
          </w:tcPr>
          <w:p w:rsidR="00530CF8" w:rsidRPr="00A63C75" w:rsidRDefault="00530CF8" w:rsidP="00530CF8">
            <w:pPr>
              <w:spacing w:before="120" w:after="120"/>
              <w:jc w:val="left"/>
              <w:rPr>
                <w:rFonts w:cs="Arial"/>
              </w:rPr>
            </w:pPr>
            <w:r w:rsidRPr="00A63C75">
              <w:rPr>
                <w:rFonts w:cs="Arial"/>
              </w:rPr>
              <w:t>When any policy-related document has not been loaded, or cannot be read. This would include endorsements.</w:t>
            </w:r>
          </w:p>
        </w:tc>
      </w:tr>
      <w:tr w:rsidR="00530CF8" w:rsidRPr="00260894" w:rsidTr="00530CF8">
        <w:trPr>
          <w:trHeight w:val="705"/>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Missing/Unreadable claim related documents</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rPr>
            </w:pPr>
            <w:r w:rsidRPr="00A63C75">
              <w:rPr>
                <w:rFonts w:cs="Arial"/>
              </w:rPr>
              <w:t>When any claim-related document has not been loaded, or cannot be read.</w:t>
            </w:r>
          </w:p>
        </w:tc>
      </w:tr>
      <w:tr w:rsidR="00530CF8" w:rsidRPr="00260894" w:rsidTr="00530CF8">
        <w:trPr>
          <w:trHeight w:val="1185"/>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Missing policy data/unsigned premium</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i/>
              </w:rPr>
            </w:pPr>
            <w:r w:rsidRPr="00A63C75">
              <w:rPr>
                <w:rFonts w:cs="Arial"/>
              </w:rPr>
              <w:t xml:space="preserve">When any policy </w:t>
            </w:r>
            <w:r w:rsidRPr="00A63C75">
              <w:rPr>
                <w:rFonts w:cs="Arial"/>
                <w:i/>
              </w:rPr>
              <w:t>data</w:t>
            </w:r>
            <w:r w:rsidRPr="00A63C75">
              <w:rPr>
                <w:rFonts w:cs="Arial"/>
              </w:rPr>
              <w:t xml:space="preserve"> (i.e. data held within the ECF record, not the documentation) is missing – </w:t>
            </w:r>
            <w:r w:rsidRPr="00A63C75">
              <w:rPr>
                <w:rFonts w:cs="Arial"/>
                <w:i/>
              </w:rPr>
              <w:t>including the Original Signing Number &amp; Date</w:t>
            </w:r>
          </w:p>
        </w:tc>
      </w:tr>
      <w:tr w:rsidR="00530CF8" w:rsidRPr="00260894" w:rsidTr="00530CF8">
        <w:trPr>
          <w:trHeight w:val="705"/>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lastRenderedPageBreak/>
              <w:t>Incorrect broker loaded claim details</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rPr>
            </w:pPr>
            <w:r w:rsidRPr="00A63C75">
              <w:rPr>
                <w:rFonts w:cs="Arial"/>
              </w:rPr>
              <w:t>When any broker-loaded claim details are incorrect</w:t>
            </w:r>
          </w:p>
        </w:tc>
      </w:tr>
      <w:tr w:rsidR="00530CF8" w:rsidRPr="00260894" w:rsidTr="00530CF8">
        <w:trPr>
          <w:trHeight w:val="513"/>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Claim out of scope for ECF</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rPr>
            </w:pPr>
            <w:r w:rsidRPr="00A63C75">
              <w:rPr>
                <w:rFonts w:cs="Arial"/>
              </w:rPr>
              <w:t>When the claim has been defined out scope according to the current version of the SP&amp;P</w:t>
            </w:r>
          </w:p>
        </w:tc>
      </w:tr>
      <w:tr w:rsidR="00530CF8" w:rsidRPr="00260894" w:rsidTr="00530CF8">
        <w:trPr>
          <w:trHeight w:val="1233"/>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Inconsistent financials</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i/>
              </w:rPr>
            </w:pPr>
            <w:r w:rsidRPr="00A63C75">
              <w:rPr>
                <w:rFonts w:cs="Arial"/>
              </w:rPr>
              <w:t xml:space="preserve">When there is an issue with the financial figures reconciling with those within documentation </w:t>
            </w:r>
            <w:r w:rsidRPr="00A63C75">
              <w:rPr>
                <w:rFonts w:cs="Arial"/>
                <w:i/>
              </w:rPr>
              <w:t>that cannot be resolved by a request for further information on the next submission</w:t>
            </w:r>
          </w:p>
        </w:tc>
      </w:tr>
      <w:tr w:rsidR="00530CF8" w:rsidRPr="00260894" w:rsidTr="00530CF8">
        <w:trPr>
          <w:trHeight w:val="993"/>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Incorrect agreement parties noted</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rPr>
            </w:pPr>
            <w:r w:rsidRPr="00A63C75">
              <w:rPr>
                <w:rFonts w:cs="Arial"/>
              </w:rPr>
              <w:t>Where the Lead has been incorrectly identified by the broker, or a further agreement party has been incorrectly identified by the Lead</w:t>
            </w:r>
          </w:p>
        </w:tc>
      </w:tr>
      <w:tr w:rsidR="00530CF8" w:rsidRPr="00260894" w:rsidTr="00530CF8">
        <w:trPr>
          <w:trHeight w:val="753"/>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Inadequate/incorrect data for XCS processing</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rPr>
            </w:pPr>
            <w:r w:rsidRPr="00A63C75">
              <w:rPr>
                <w:rFonts w:cs="Arial"/>
                <w:i/>
              </w:rPr>
              <w:t>To be used by XCS only</w:t>
            </w:r>
            <w:r w:rsidRPr="00A63C75">
              <w:rPr>
                <w:rFonts w:cs="Arial"/>
              </w:rPr>
              <w:t xml:space="preserve"> where there is insufficient or missing information to process the transaction</w:t>
            </w:r>
          </w:p>
        </w:tc>
      </w:tr>
      <w:tr w:rsidR="00530CF8" w:rsidRPr="00260894" w:rsidTr="00530CF8">
        <w:trPr>
          <w:trHeight w:val="885"/>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Query raised with settlement</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rPr>
            </w:pPr>
            <w:r w:rsidRPr="00A63C75">
              <w:rPr>
                <w:rFonts w:cs="Arial"/>
                <w:i/>
              </w:rPr>
              <w:t>To be used for Settlement transactions only</w:t>
            </w:r>
            <w:r w:rsidRPr="00A63C75">
              <w:rPr>
                <w:rFonts w:cs="Arial"/>
              </w:rPr>
              <w:t xml:space="preserve"> where the agreement party cannot authorise the payment – may be used in conjunction with any other Query Reason</w:t>
            </w:r>
          </w:p>
        </w:tc>
      </w:tr>
      <w:tr w:rsidR="00530CF8" w:rsidRPr="00260894" w:rsidTr="00530CF8">
        <w:trPr>
          <w:trHeight w:val="753"/>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Pending market discussion</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rPr>
            </w:pPr>
            <w:r w:rsidRPr="00A63C75">
              <w:rPr>
                <w:rFonts w:cs="Arial"/>
              </w:rPr>
              <w:t>Primarily for CTP claims, where a market meeting has been called of which the outcome will determine the response of the transaction</w:t>
            </w:r>
          </w:p>
        </w:tc>
      </w:tr>
      <w:tr w:rsidR="00530CF8" w:rsidRPr="00260894" w:rsidTr="00530CF8">
        <w:trPr>
          <w:trHeight w:val="753"/>
        </w:trPr>
        <w:tc>
          <w:tcPr>
            <w:tcW w:w="4068" w:type="dxa"/>
            <w:tcBorders>
              <w:top w:val="single" w:sz="6" w:space="0" w:color="auto"/>
              <w:bottom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Duplicate advice/claims created in error</w:t>
            </w:r>
          </w:p>
        </w:tc>
        <w:tc>
          <w:tcPr>
            <w:tcW w:w="5107" w:type="dxa"/>
            <w:tcBorders>
              <w:top w:val="single" w:sz="6" w:space="0" w:color="auto"/>
              <w:left w:val="single" w:sz="6" w:space="0" w:color="auto"/>
              <w:bottom w:val="single" w:sz="6" w:space="0" w:color="auto"/>
            </w:tcBorders>
          </w:tcPr>
          <w:p w:rsidR="00530CF8" w:rsidRPr="00A63C75" w:rsidRDefault="00530CF8" w:rsidP="00530CF8">
            <w:pPr>
              <w:spacing w:before="120" w:after="120"/>
              <w:jc w:val="left"/>
              <w:rPr>
                <w:rFonts w:cs="Arial"/>
              </w:rPr>
            </w:pPr>
            <w:r w:rsidRPr="00A63C75">
              <w:rPr>
                <w:rFonts w:cs="Arial"/>
              </w:rPr>
              <w:t xml:space="preserve">Where the broker has created the transaction in error </w:t>
            </w:r>
          </w:p>
        </w:tc>
      </w:tr>
      <w:tr w:rsidR="00530CF8" w:rsidRPr="00D64309" w:rsidTr="00530CF8">
        <w:trPr>
          <w:trHeight w:val="585"/>
        </w:trPr>
        <w:tc>
          <w:tcPr>
            <w:tcW w:w="4068" w:type="dxa"/>
            <w:tcBorders>
              <w:top w:val="single" w:sz="6" w:space="0" w:color="auto"/>
              <w:right w:val="single" w:sz="6" w:space="0" w:color="auto"/>
            </w:tcBorders>
          </w:tcPr>
          <w:p w:rsidR="00530CF8" w:rsidRPr="00AE12D8" w:rsidRDefault="00530CF8" w:rsidP="00530CF8">
            <w:pPr>
              <w:pStyle w:val="ListParagraph"/>
              <w:numPr>
                <w:ilvl w:val="0"/>
                <w:numId w:val="106"/>
              </w:numPr>
              <w:tabs>
                <w:tab w:val="clear" w:pos="2421"/>
                <w:tab w:val="num" w:pos="426"/>
              </w:tabs>
              <w:spacing w:before="120" w:after="120" w:line="240" w:lineRule="auto"/>
              <w:ind w:left="426" w:hanging="426"/>
              <w:rPr>
                <w:rFonts w:ascii="Arial" w:hAnsi="Arial" w:cs="Arial"/>
                <w:sz w:val="20"/>
                <w:szCs w:val="20"/>
              </w:rPr>
            </w:pPr>
            <w:r w:rsidRPr="00AE12D8">
              <w:rPr>
                <w:rFonts w:ascii="Arial" w:hAnsi="Arial" w:cs="Arial"/>
                <w:sz w:val="20"/>
                <w:szCs w:val="20"/>
              </w:rPr>
              <w:t>Other: Non-fundamental query</w:t>
            </w:r>
          </w:p>
        </w:tc>
        <w:tc>
          <w:tcPr>
            <w:tcW w:w="5107" w:type="dxa"/>
            <w:tcBorders>
              <w:top w:val="single" w:sz="6" w:space="0" w:color="auto"/>
              <w:left w:val="single" w:sz="6" w:space="0" w:color="auto"/>
            </w:tcBorders>
          </w:tcPr>
          <w:p w:rsidR="00530CF8" w:rsidRPr="00A63C75" w:rsidRDefault="00530CF8" w:rsidP="00530CF8">
            <w:pPr>
              <w:spacing w:before="120" w:after="120"/>
              <w:jc w:val="left"/>
              <w:rPr>
                <w:rFonts w:cs="Arial"/>
              </w:rPr>
            </w:pPr>
            <w:r w:rsidRPr="00A63C75">
              <w:rPr>
                <w:rFonts w:cs="Arial"/>
              </w:rPr>
              <w:t>For all other queries</w:t>
            </w:r>
            <w:r>
              <w:rPr>
                <w:rFonts w:cs="Arial"/>
              </w:rPr>
              <w:t xml:space="preserve"> where the query reason prevents the user from processing the TR</w:t>
            </w:r>
          </w:p>
        </w:tc>
      </w:tr>
    </w:tbl>
    <w:p w:rsidR="00530CF8" w:rsidRDefault="00530CF8" w:rsidP="00D83B64">
      <w:pPr>
        <w:rPr>
          <w:rFonts w:cs="Arial"/>
        </w:rPr>
      </w:pPr>
    </w:p>
    <w:p w:rsidR="004128DB" w:rsidRPr="005E1479" w:rsidRDefault="00530CF8" w:rsidP="00C14056">
      <w:pPr>
        <w:pStyle w:val="Heading2"/>
      </w:pPr>
      <w:bookmarkStart w:id="175" w:name="_Reserving_as_a"/>
      <w:bookmarkStart w:id="176" w:name="_Toc396989148"/>
      <w:bookmarkStart w:id="177" w:name="_Toc389214821"/>
      <w:bookmarkEnd w:id="175"/>
      <w:r>
        <w:t xml:space="preserve">Reserving as a </w:t>
      </w:r>
      <w:r w:rsidR="004128DB" w:rsidRPr="005E1479">
        <w:t>Lead Agreement</w:t>
      </w:r>
      <w:bookmarkEnd w:id="176"/>
      <w:r w:rsidR="004128DB" w:rsidRPr="005E1479">
        <w:t xml:space="preserve"> </w:t>
      </w:r>
      <w:bookmarkEnd w:id="177"/>
      <w:r w:rsidR="004128DB" w:rsidRPr="005E1479">
        <w:t xml:space="preserve"> </w:t>
      </w:r>
    </w:p>
    <w:p w:rsidR="004128DB" w:rsidRPr="005E1479" w:rsidRDefault="004128DB" w:rsidP="00C14056">
      <w:pPr>
        <w:pStyle w:val="Bullets"/>
        <w:numPr>
          <w:ilvl w:val="0"/>
          <w:numId w:val="0"/>
        </w:numPr>
      </w:pPr>
      <w:r w:rsidRPr="005E1479">
        <w:t xml:space="preserve">It is the leader’s role to </w:t>
      </w:r>
      <w:r w:rsidR="005410BB">
        <w:t xml:space="preserve">clearly </w:t>
      </w:r>
      <w:r w:rsidRPr="005E1479">
        <w:t xml:space="preserve">instruct XCS </w:t>
      </w:r>
      <w:r w:rsidR="005410BB">
        <w:t>of</w:t>
      </w:r>
      <w:r w:rsidR="005410BB" w:rsidRPr="005E1479">
        <w:t xml:space="preserve"> </w:t>
      </w:r>
      <w:r w:rsidRPr="005E1479">
        <w:t>what indemnity and</w:t>
      </w:r>
      <w:r w:rsidR="00372619">
        <w:t xml:space="preserve"> fee reserve it wishes to hold </w:t>
      </w:r>
      <w:r w:rsidRPr="005E1479">
        <w:t xml:space="preserve">on each claim.  In order to achieve clarity the leader should </w:t>
      </w:r>
      <w:r w:rsidRPr="005E1479">
        <w:rPr>
          <w:b/>
          <w:bCs/>
        </w:rPr>
        <w:t xml:space="preserve">always </w:t>
      </w:r>
      <w:r w:rsidRPr="005E1479">
        <w:t xml:space="preserve">enter the required indemnity and fee reserves in the ECF Lead Reserve fields </w:t>
      </w:r>
      <w:r w:rsidRPr="005E1479">
        <w:rPr>
          <w:b/>
          <w:bCs/>
        </w:rPr>
        <w:t xml:space="preserve">unless </w:t>
      </w:r>
      <w:r w:rsidRPr="005E1479">
        <w:t xml:space="preserve">the reserve advised by </w:t>
      </w:r>
      <w:r w:rsidRPr="005E1479">
        <w:tab/>
        <w:t>the broker is an indemnity reserve only and the leader wishes to hold the same amount as an indemnity reserve and no fee reserve.</w:t>
      </w:r>
      <w:r w:rsidR="005E1479" w:rsidRPr="005E1479">
        <w:t xml:space="preserve"> The leader should clearly state the indemnity and fee reserves to be held and for which currencies (where there are multiple), within the private comments.</w:t>
      </w:r>
    </w:p>
    <w:p w:rsidR="004128DB" w:rsidRPr="005E1479" w:rsidRDefault="004128DB" w:rsidP="00C14056">
      <w:pPr>
        <w:pStyle w:val="Bullets"/>
        <w:numPr>
          <w:ilvl w:val="0"/>
          <w:numId w:val="0"/>
        </w:numPr>
      </w:pPr>
    </w:p>
    <w:p w:rsidR="004128DB" w:rsidRPr="005E1479" w:rsidRDefault="004128DB" w:rsidP="00C14056">
      <w:pPr>
        <w:pStyle w:val="Bullets"/>
        <w:numPr>
          <w:ilvl w:val="0"/>
          <w:numId w:val="0"/>
        </w:numPr>
      </w:pPr>
      <w:r w:rsidRPr="005E1479">
        <w:t>Note, therefore, that:</w:t>
      </w:r>
    </w:p>
    <w:p w:rsidR="004128DB" w:rsidRPr="005E1479" w:rsidRDefault="004128DB" w:rsidP="00C14056">
      <w:pPr>
        <w:pStyle w:val="Bullets"/>
        <w:numPr>
          <w:ilvl w:val="0"/>
          <w:numId w:val="0"/>
        </w:numPr>
      </w:pPr>
    </w:p>
    <w:p w:rsidR="004128DB" w:rsidRPr="005E1479" w:rsidRDefault="004128DB" w:rsidP="00C14056">
      <w:pPr>
        <w:pStyle w:val="Bullets"/>
        <w:numPr>
          <w:ilvl w:val="0"/>
          <w:numId w:val="0"/>
        </w:numPr>
      </w:pPr>
      <w:r w:rsidRPr="005E1479">
        <w:t xml:space="preserve">i) if the leader only completes one of </w:t>
      </w:r>
      <w:r w:rsidRPr="005E1479">
        <w:rPr>
          <w:b/>
          <w:bCs/>
        </w:rPr>
        <w:t xml:space="preserve">either </w:t>
      </w:r>
      <w:r w:rsidRPr="005E1479">
        <w:t xml:space="preserve">of the ECF Leader’s indemnity or fee reserve </w:t>
      </w:r>
      <w:r w:rsidRPr="005E1479">
        <w:tab/>
      </w:r>
      <w:r w:rsidR="00372619">
        <w:t>fields,</w:t>
      </w:r>
      <w:r w:rsidR="005410BB">
        <w:t xml:space="preserve"> </w:t>
      </w:r>
      <w:r w:rsidRPr="005E1479">
        <w:t>this will result in ambiguity as to the Lead’s requirements for the r</w:t>
      </w:r>
      <w:r w:rsidR="00372619">
        <w:t xml:space="preserve">eserve to be held in </w:t>
      </w:r>
      <w:r w:rsidR="00372619">
        <w:tab/>
        <w:t xml:space="preserve">the other field </w:t>
      </w:r>
      <w:r w:rsidRPr="005E1479">
        <w:t>which may</w:t>
      </w:r>
      <w:r w:rsidR="00372619">
        <w:t>,</w:t>
      </w:r>
      <w:r w:rsidRPr="005E1479">
        <w:t xml:space="preserve"> therefore</w:t>
      </w:r>
      <w:r w:rsidR="00372619">
        <w:t xml:space="preserve">, </w:t>
      </w:r>
      <w:r w:rsidRPr="005E1479">
        <w:t>lead to incorrect reserves being held;</w:t>
      </w:r>
    </w:p>
    <w:p w:rsidR="004128DB" w:rsidRPr="005E1479" w:rsidRDefault="004128DB" w:rsidP="00C14056">
      <w:pPr>
        <w:pStyle w:val="Bullets"/>
        <w:numPr>
          <w:ilvl w:val="0"/>
          <w:numId w:val="0"/>
        </w:numPr>
      </w:pPr>
    </w:p>
    <w:p w:rsidR="004128DB" w:rsidRPr="005E1479" w:rsidRDefault="004128DB" w:rsidP="00C14056">
      <w:pPr>
        <w:pStyle w:val="Bullets"/>
        <w:numPr>
          <w:ilvl w:val="0"/>
          <w:numId w:val="0"/>
        </w:numPr>
      </w:pPr>
      <w:r w:rsidRPr="005E1479">
        <w:t>ii) If there is no entry in either of the leader’s indemnity or fee reserve fields, XCS will enter</w:t>
      </w:r>
    </w:p>
    <w:p w:rsidR="004128DB" w:rsidRPr="005E1479" w:rsidRDefault="004128DB" w:rsidP="00C14056">
      <w:pPr>
        <w:pStyle w:val="Bullets"/>
        <w:numPr>
          <w:ilvl w:val="0"/>
          <w:numId w:val="0"/>
        </w:numPr>
      </w:pPr>
      <w:r w:rsidRPr="005E1479">
        <w:t>the amount in the broker reserve field into the INDEMNITY reserve field on XCS CLASS,</w:t>
      </w:r>
    </w:p>
    <w:p w:rsidR="005E1479" w:rsidRPr="005E1479" w:rsidRDefault="004128DB" w:rsidP="00C14056">
      <w:pPr>
        <w:pStyle w:val="Bullets"/>
        <w:numPr>
          <w:ilvl w:val="0"/>
          <w:numId w:val="0"/>
        </w:numPr>
      </w:pPr>
      <w:r w:rsidRPr="005E1479">
        <w:t>regardless of any indication in the documents as to whethe</w:t>
      </w:r>
      <w:r w:rsidR="005E1479" w:rsidRPr="005E1479">
        <w:t xml:space="preserve">r that amount contains any fee </w:t>
      </w:r>
    </w:p>
    <w:p w:rsidR="004128DB" w:rsidRPr="005E1479" w:rsidRDefault="004128DB" w:rsidP="00C14056">
      <w:pPr>
        <w:pStyle w:val="Bullets"/>
        <w:numPr>
          <w:ilvl w:val="0"/>
          <w:numId w:val="0"/>
        </w:numPr>
      </w:pPr>
      <w:r w:rsidRPr="005E1479">
        <w:t>reserve.</w:t>
      </w:r>
    </w:p>
    <w:p w:rsidR="004128DB" w:rsidRPr="005E1479" w:rsidRDefault="004128DB" w:rsidP="00C14056">
      <w:pPr>
        <w:pStyle w:val="Bullets"/>
        <w:numPr>
          <w:ilvl w:val="0"/>
          <w:numId w:val="0"/>
        </w:numPr>
      </w:pPr>
    </w:p>
    <w:p w:rsidR="004128DB" w:rsidRPr="005E1479" w:rsidRDefault="004128DB" w:rsidP="00C14056">
      <w:pPr>
        <w:pStyle w:val="Bullets"/>
        <w:numPr>
          <w:ilvl w:val="0"/>
          <w:numId w:val="0"/>
        </w:numPr>
      </w:pPr>
      <w:r w:rsidRPr="005E1479">
        <w:t>For clarity, the following additional guidance applies:</w:t>
      </w:r>
    </w:p>
    <w:p w:rsidR="004128DB" w:rsidRPr="005E1479" w:rsidRDefault="004128DB" w:rsidP="00C14056">
      <w:pPr>
        <w:pStyle w:val="Bullets"/>
        <w:numPr>
          <w:ilvl w:val="0"/>
          <w:numId w:val="0"/>
        </w:numPr>
      </w:pPr>
    </w:p>
    <w:p w:rsidR="004128DB" w:rsidRPr="005E1479" w:rsidRDefault="004128DB" w:rsidP="00C14056">
      <w:pPr>
        <w:pStyle w:val="Bullets"/>
        <w:numPr>
          <w:ilvl w:val="0"/>
          <w:numId w:val="0"/>
        </w:numPr>
        <w:tabs>
          <w:tab w:val="left" w:pos="426"/>
        </w:tabs>
        <w:ind w:left="426" w:hanging="426"/>
      </w:pPr>
      <w:r w:rsidRPr="005E1479">
        <w:lastRenderedPageBreak/>
        <w:t xml:space="preserve">1. </w:t>
      </w:r>
      <w:r w:rsidRPr="005E1479">
        <w:tab/>
        <w:t>The reserve entered by the lead in the Lead Reserve field should be subject to any slip order percentage so the lead will need to carry out the relevant calculation before entering the sum in this field.</w:t>
      </w:r>
    </w:p>
    <w:p w:rsidR="004128DB" w:rsidRPr="005E1479" w:rsidRDefault="004128DB" w:rsidP="00C14056">
      <w:pPr>
        <w:pStyle w:val="Bullets"/>
        <w:numPr>
          <w:ilvl w:val="0"/>
          <w:numId w:val="0"/>
        </w:numPr>
        <w:tabs>
          <w:tab w:val="left" w:pos="426"/>
        </w:tabs>
        <w:ind w:left="426" w:hanging="426"/>
      </w:pPr>
    </w:p>
    <w:p w:rsidR="004128DB" w:rsidRPr="005E1479" w:rsidRDefault="004128DB" w:rsidP="00C14056">
      <w:pPr>
        <w:pStyle w:val="Bullets"/>
        <w:numPr>
          <w:ilvl w:val="0"/>
          <w:numId w:val="0"/>
        </w:numPr>
        <w:tabs>
          <w:tab w:val="left" w:pos="426"/>
        </w:tabs>
        <w:ind w:left="426" w:hanging="426"/>
      </w:pPr>
      <w:r w:rsidRPr="005E1479">
        <w:t xml:space="preserve">2. </w:t>
      </w:r>
      <w:r w:rsidRPr="005E1479">
        <w:tab/>
        <w:t xml:space="preserve">Where necessary, leaders should </w:t>
      </w:r>
      <w:r w:rsidRPr="005E1479">
        <w:rPr>
          <w:b/>
        </w:rPr>
        <w:t xml:space="preserve">always </w:t>
      </w:r>
      <w:r w:rsidRPr="005E1479">
        <w:t>add comments in the “private comments” field in ECF to support the leader’s reserve amounts, for example to explain the rationale and calculation of the reserve.</w:t>
      </w:r>
    </w:p>
    <w:p w:rsidR="004128DB" w:rsidRPr="004128DB" w:rsidRDefault="004128DB" w:rsidP="00C14056">
      <w:pPr>
        <w:pStyle w:val="Bullets"/>
        <w:numPr>
          <w:ilvl w:val="0"/>
          <w:numId w:val="0"/>
        </w:numPr>
        <w:tabs>
          <w:tab w:val="left" w:pos="426"/>
        </w:tabs>
        <w:ind w:left="426" w:hanging="426"/>
        <w:rPr>
          <w:highlight w:val="yellow"/>
        </w:rPr>
      </w:pPr>
    </w:p>
    <w:p w:rsidR="004128DB" w:rsidRPr="005E1479" w:rsidRDefault="004128DB" w:rsidP="00C14056">
      <w:pPr>
        <w:pStyle w:val="Bullets"/>
        <w:numPr>
          <w:ilvl w:val="0"/>
          <w:numId w:val="0"/>
        </w:numPr>
        <w:tabs>
          <w:tab w:val="left" w:pos="426"/>
        </w:tabs>
        <w:ind w:left="426" w:hanging="426"/>
      </w:pPr>
      <w:r w:rsidRPr="005E1479">
        <w:t xml:space="preserve">3. </w:t>
      </w:r>
      <w:r w:rsidRPr="005E1479">
        <w:tab/>
        <w:t>If a leader wants to positively instruct XCS to carry a NIL reserve, they should carry a "1" in the rel</w:t>
      </w:r>
      <w:r w:rsidR="005E1479" w:rsidRPr="005E1479">
        <w:t>evant Lead Reserve field in ECF and support with narrative within private comments.</w:t>
      </w:r>
    </w:p>
    <w:p w:rsidR="004128DB" w:rsidRPr="004128DB" w:rsidRDefault="004128DB" w:rsidP="00C14056">
      <w:pPr>
        <w:pStyle w:val="Bullets"/>
        <w:numPr>
          <w:ilvl w:val="0"/>
          <w:numId w:val="0"/>
        </w:numPr>
        <w:tabs>
          <w:tab w:val="left" w:pos="426"/>
        </w:tabs>
        <w:ind w:left="426" w:hanging="426"/>
        <w:rPr>
          <w:highlight w:val="yellow"/>
        </w:rPr>
      </w:pPr>
    </w:p>
    <w:p w:rsidR="004128DB" w:rsidRPr="005E1479" w:rsidRDefault="004128DB" w:rsidP="00C14056">
      <w:pPr>
        <w:pStyle w:val="Bullets"/>
        <w:numPr>
          <w:ilvl w:val="0"/>
          <w:numId w:val="0"/>
        </w:numPr>
        <w:tabs>
          <w:tab w:val="left" w:pos="426"/>
        </w:tabs>
        <w:ind w:left="426" w:hanging="426"/>
      </w:pPr>
      <w:r w:rsidRPr="005E1479">
        <w:t xml:space="preserve">4. </w:t>
      </w:r>
      <w:r w:rsidR="005E1479" w:rsidRPr="005E1479">
        <w:tab/>
      </w:r>
      <w:r w:rsidRPr="005E1479">
        <w:t>When a leader chooses to use the Lead Reserve fields, it is recommended that they complete both fields, adding a "1" where there is no reserve for that element of reserve, for total clarity.</w:t>
      </w:r>
    </w:p>
    <w:p w:rsidR="004128DB" w:rsidRPr="005E1479" w:rsidRDefault="004128DB" w:rsidP="00C14056">
      <w:pPr>
        <w:pStyle w:val="Bullets"/>
        <w:numPr>
          <w:ilvl w:val="0"/>
          <w:numId w:val="0"/>
        </w:numPr>
        <w:tabs>
          <w:tab w:val="left" w:pos="426"/>
        </w:tabs>
        <w:ind w:left="426" w:hanging="426"/>
      </w:pPr>
    </w:p>
    <w:p w:rsidR="004128DB" w:rsidRPr="005E1479" w:rsidRDefault="004128DB" w:rsidP="00C14056">
      <w:pPr>
        <w:pStyle w:val="Bullets"/>
        <w:numPr>
          <w:ilvl w:val="0"/>
          <w:numId w:val="0"/>
        </w:numPr>
        <w:tabs>
          <w:tab w:val="left" w:pos="426"/>
        </w:tabs>
        <w:ind w:left="426" w:hanging="426"/>
      </w:pPr>
      <w:r w:rsidRPr="005E1479">
        <w:t xml:space="preserve">5. </w:t>
      </w:r>
      <w:r w:rsidRPr="005E1479">
        <w:tab/>
        <w:t>As the amounts in the leader’s indemnity and fee reserve fields are automatically carried forward from one transaction to the next, it is important that the lead check that they remain accurate on every transaction. This will include, for example, ensuring a reduced reserve is entered, where appropriate, after a settlement is agreed or fee invoice is paid. If the reserves carried forward into the Lead Reserve fields from a previous transaction are no longer required, and the lead wishes to hold the reserve advised by the broker instead, the lead should delete the reserve amounts in the Lead Reserve fields and XCS will take their instructions from the broker’s figures, as per principle ii) above.</w:t>
      </w:r>
    </w:p>
    <w:p w:rsidR="004128DB" w:rsidRPr="004128DB" w:rsidRDefault="004128DB" w:rsidP="00C14056">
      <w:pPr>
        <w:pStyle w:val="Bullets"/>
        <w:numPr>
          <w:ilvl w:val="0"/>
          <w:numId w:val="0"/>
        </w:numPr>
        <w:tabs>
          <w:tab w:val="left" w:pos="426"/>
        </w:tabs>
        <w:ind w:left="426" w:hanging="426"/>
        <w:rPr>
          <w:highlight w:val="yellow"/>
        </w:rPr>
      </w:pPr>
    </w:p>
    <w:p w:rsidR="004128DB" w:rsidRPr="005E1479" w:rsidRDefault="004128DB" w:rsidP="00C14056">
      <w:pPr>
        <w:pStyle w:val="Bullets"/>
        <w:numPr>
          <w:ilvl w:val="0"/>
          <w:numId w:val="0"/>
        </w:numPr>
        <w:tabs>
          <w:tab w:val="left" w:pos="426"/>
        </w:tabs>
        <w:ind w:left="426" w:hanging="426"/>
      </w:pPr>
      <w:r w:rsidRPr="005E1479">
        <w:t xml:space="preserve">6. </w:t>
      </w:r>
      <w:r w:rsidRPr="005E1479">
        <w:tab/>
        <w:t>All reserves, including a “1” in the Lead Reserve fields should be entered in the Original</w:t>
      </w:r>
    </w:p>
    <w:p w:rsidR="004128DB" w:rsidRPr="005E1479" w:rsidRDefault="004128DB" w:rsidP="00C14056">
      <w:pPr>
        <w:pStyle w:val="Bullets"/>
        <w:numPr>
          <w:ilvl w:val="0"/>
          <w:numId w:val="0"/>
        </w:numPr>
        <w:tabs>
          <w:tab w:val="left" w:pos="426"/>
        </w:tabs>
        <w:ind w:left="426" w:hanging="426"/>
      </w:pPr>
      <w:r w:rsidRPr="005E1479">
        <w:tab/>
        <w:t>Currency. However, only the amount should be entered, not the currency and without commas (i.e. 10000 should be entered, not US$10,000 or GBP10,000 or 10,000).</w:t>
      </w:r>
    </w:p>
    <w:p w:rsidR="004128DB" w:rsidRPr="005E1479" w:rsidRDefault="004128DB" w:rsidP="00C14056">
      <w:pPr>
        <w:pStyle w:val="Bullets"/>
        <w:numPr>
          <w:ilvl w:val="0"/>
          <w:numId w:val="0"/>
        </w:numPr>
        <w:tabs>
          <w:tab w:val="left" w:pos="426"/>
        </w:tabs>
        <w:ind w:left="426" w:hanging="426"/>
      </w:pPr>
    </w:p>
    <w:p w:rsidR="004128DB" w:rsidRPr="005E1479" w:rsidRDefault="004128DB" w:rsidP="00C14056">
      <w:pPr>
        <w:pStyle w:val="Bullets"/>
        <w:numPr>
          <w:ilvl w:val="0"/>
          <w:numId w:val="0"/>
        </w:numPr>
        <w:tabs>
          <w:tab w:val="left" w:pos="426"/>
        </w:tabs>
        <w:ind w:left="426" w:hanging="426"/>
      </w:pPr>
      <w:r w:rsidRPr="005E1479">
        <w:t xml:space="preserve">7. </w:t>
      </w:r>
      <w:r w:rsidRPr="005E1479">
        <w:tab/>
        <w:t xml:space="preserve">Leaders’ reserves are visible to the other subscribing insurers on that claim (including XCS and experts who have been granted read only access to the UCR), </w:t>
      </w:r>
      <w:r w:rsidRPr="005E1479">
        <w:rPr>
          <w:b/>
        </w:rPr>
        <w:t>but not by the broker</w:t>
      </w:r>
      <w:r w:rsidRPr="005E1479">
        <w:t>, even if a “Query/Return” response is entered.</w:t>
      </w:r>
    </w:p>
    <w:p w:rsidR="004128DB" w:rsidRPr="005E1479" w:rsidRDefault="004128DB" w:rsidP="00C14056">
      <w:pPr>
        <w:pStyle w:val="Bullets"/>
        <w:numPr>
          <w:ilvl w:val="0"/>
          <w:numId w:val="0"/>
        </w:numPr>
        <w:tabs>
          <w:tab w:val="left" w:pos="426"/>
        </w:tabs>
        <w:ind w:left="426" w:hanging="426"/>
      </w:pPr>
    </w:p>
    <w:p w:rsidR="004128DB" w:rsidRPr="005E1479" w:rsidRDefault="004128DB" w:rsidP="00C14056">
      <w:pPr>
        <w:pStyle w:val="Bullets"/>
        <w:numPr>
          <w:ilvl w:val="0"/>
          <w:numId w:val="0"/>
        </w:numPr>
        <w:tabs>
          <w:tab w:val="left" w:pos="426"/>
        </w:tabs>
        <w:ind w:left="426" w:hanging="426"/>
      </w:pPr>
      <w:r w:rsidRPr="005E1479">
        <w:t xml:space="preserve">8. </w:t>
      </w:r>
      <w:r w:rsidRPr="005E1479">
        <w:tab/>
        <w:t>Parallel UCRs - Where insurers receive an advice from an expert, via a ‘parallel UCR’, the lead should take care when using the Lead Reserve fields. Under most circumstances both the ‘parallel UCR’ and the ‘broker indemnity UCR’ share the same XCS CLASS record(s). Any reserves added on a parallel UCR will supersede the existing reserves currently held in XCS CLASS. This may be a reserve that was not a result of any broker advice, e.g. claims under direct reporting.  If the Lead wishes to carry a specific fee or indemnity reserve then these can be notified to XCS using these Lead Reserve fields.  But remember that any financial value supplied will supersede the reserve currently held for the claim. Supplying “1” in either field will result in a zero reserve being applied for that element of the reserve.  Where a Lead Reserve field is left blank, XCS will maintain the current reserve on the XCS CLASS entry. NB. This current reserve must be ascertained by referring to the most recent SCM received (most likely via the lead’s internal claims system).</w:t>
      </w:r>
      <w:r w:rsidRPr="005E1479" w:rsidDel="00AA73F4">
        <w:t xml:space="preserve"> </w:t>
      </w:r>
    </w:p>
    <w:p w:rsidR="004128DB" w:rsidRPr="004128DB" w:rsidRDefault="004128DB" w:rsidP="00C14056">
      <w:pPr>
        <w:pStyle w:val="Bullets"/>
        <w:numPr>
          <w:ilvl w:val="0"/>
          <w:numId w:val="0"/>
        </w:numPr>
        <w:tabs>
          <w:tab w:val="left" w:pos="426"/>
        </w:tabs>
        <w:ind w:left="426" w:hanging="426"/>
        <w:rPr>
          <w:highlight w:val="yellow"/>
        </w:rPr>
      </w:pPr>
    </w:p>
    <w:p w:rsidR="004128DB" w:rsidRPr="005E1479" w:rsidRDefault="004128DB" w:rsidP="00C14056">
      <w:pPr>
        <w:pStyle w:val="Bullets"/>
        <w:numPr>
          <w:ilvl w:val="0"/>
          <w:numId w:val="0"/>
        </w:numPr>
        <w:tabs>
          <w:tab w:val="left" w:pos="426"/>
        </w:tabs>
        <w:ind w:left="426" w:hanging="426"/>
      </w:pPr>
      <w:r w:rsidRPr="005E1479">
        <w:t xml:space="preserve">9. </w:t>
      </w:r>
      <w:r w:rsidR="005E1479">
        <w:tab/>
      </w:r>
      <w:r w:rsidRPr="005E1479">
        <w:t>Where insurers are receiving private and confidential advice from an expert not via a parallel UCR, it is the Lead's responsibility to ensure that the rationale for the reserve is available to the followers on the main UCR. For example by loading the expert’s report onto the IMR, asking XCS to issue an SCM with appropriate narrative and/or sending an email to followers to alert them to the additional documents. Also, as above, the up to date reserves should be entered by the Lead in the Lead Reserve fields on the main UCR next time the broker loads a transaction, with reference to the advice supporting the reserve in the private comments field.</w:t>
      </w:r>
    </w:p>
    <w:p w:rsidR="004128DB" w:rsidRPr="004128DB" w:rsidRDefault="004128DB" w:rsidP="00C14056">
      <w:pPr>
        <w:pStyle w:val="Bullets"/>
        <w:numPr>
          <w:ilvl w:val="0"/>
          <w:numId w:val="0"/>
        </w:numPr>
        <w:tabs>
          <w:tab w:val="left" w:pos="426"/>
        </w:tabs>
        <w:ind w:left="426" w:hanging="426"/>
        <w:rPr>
          <w:highlight w:val="yellow"/>
        </w:rPr>
      </w:pPr>
    </w:p>
    <w:p w:rsidR="004128DB" w:rsidRDefault="004128DB" w:rsidP="00C14056">
      <w:pPr>
        <w:pStyle w:val="Bullets"/>
        <w:numPr>
          <w:ilvl w:val="0"/>
          <w:numId w:val="0"/>
        </w:numPr>
        <w:tabs>
          <w:tab w:val="left" w:pos="426"/>
        </w:tabs>
        <w:ind w:left="426" w:hanging="426"/>
      </w:pPr>
      <w:r w:rsidRPr="005E1479">
        <w:t>10. Where another agreement party disagrees with the leaders reserve(s), the agreement party should contact the lead prior to responding on ECF and together they should use best endeavours to agree the reserve/s to be carried in XCS CLASS. If they jointly decide that XCS CLASS should hold a reserve that is different from the leaders reserve/s already entered in the Lead’s reserve fields, the Lead should change the relevant Lead Reserve/s and re-respond to the ECF transaction.</w:t>
      </w:r>
    </w:p>
    <w:p w:rsidR="005410BB" w:rsidRPr="005E1479" w:rsidRDefault="005410BB" w:rsidP="00C14056">
      <w:pPr>
        <w:pStyle w:val="Bullets"/>
        <w:numPr>
          <w:ilvl w:val="0"/>
          <w:numId w:val="0"/>
        </w:numPr>
        <w:tabs>
          <w:tab w:val="left" w:pos="426"/>
        </w:tabs>
        <w:ind w:left="426" w:hanging="426"/>
      </w:pPr>
    </w:p>
    <w:p w:rsidR="004128DB" w:rsidRPr="004128DB" w:rsidRDefault="004128DB" w:rsidP="00C14056">
      <w:pPr>
        <w:pStyle w:val="Bullets"/>
        <w:numPr>
          <w:ilvl w:val="0"/>
          <w:numId w:val="0"/>
        </w:numPr>
        <w:tabs>
          <w:tab w:val="left" w:pos="426"/>
        </w:tabs>
        <w:ind w:left="426" w:hanging="426"/>
        <w:rPr>
          <w:highlight w:val="yellow"/>
        </w:rPr>
      </w:pPr>
    </w:p>
    <w:p w:rsidR="004128DB" w:rsidRPr="005E1479" w:rsidRDefault="004128DB" w:rsidP="00C14056">
      <w:pPr>
        <w:pStyle w:val="Bullets"/>
        <w:numPr>
          <w:ilvl w:val="0"/>
          <w:numId w:val="0"/>
        </w:numPr>
        <w:tabs>
          <w:tab w:val="left" w:pos="426"/>
        </w:tabs>
        <w:ind w:left="426" w:hanging="426"/>
      </w:pPr>
      <w:r w:rsidRPr="005E1479">
        <w:lastRenderedPageBreak/>
        <w:t xml:space="preserve">11. </w:t>
      </w:r>
      <w:r w:rsidR="00C14056">
        <w:t xml:space="preserve">  </w:t>
      </w:r>
      <w:r w:rsidRPr="005E1479">
        <w:t>Expenses - Whenever the Lead requires a fee reserve to be held that relates to</w:t>
      </w:r>
    </w:p>
    <w:p w:rsidR="004128DB" w:rsidRDefault="004128DB" w:rsidP="00C14056">
      <w:pPr>
        <w:pStyle w:val="Bullets"/>
        <w:numPr>
          <w:ilvl w:val="0"/>
          <w:numId w:val="0"/>
        </w:numPr>
        <w:tabs>
          <w:tab w:val="left" w:pos="426"/>
        </w:tabs>
        <w:ind w:left="426" w:hanging="426"/>
      </w:pPr>
      <w:r w:rsidRPr="005E1479">
        <w:tab/>
        <w:t>fees/expenses that are payable under the policy, they should enter this amount in the Leaders Fee Reserve field and NOT in the Indemnity Reserve Field (together with any other fee reserves to be held) and instruct XCS in the private comments field, how this should be broken down on XCS CLASS, between expenses or fees</w:t>
      </w:r>
    </w:p>
    <w:p w:rsidR="00D15101" w:rsidRDefault="00D15101" w:rsidP="00C14056">
      <w:pPr>
        <w:pStyle w:val="Bullets"/>
        <w:numPr>
          <w:ilvl w:val="0"/>
          <w:numId w:val="0"/>
        </w:numPr>
        <w:tabs>
          <w:tab w:val="left" w:pos="426"/>
        </w:tabs>
        <w:ind w:left="426" w:hanging="426"/>
      </w:pPr>
    </w:p>
    <w:p w:rsidR="00DE4AB8" w:rsidRPr="0088266E" w:rsidRDefault="00DE4AB8" w:rsidP="00C14056">
      <w:pPr>
        <w:pStyle w:val="Heading3"/>
      </w:pPr>
      <w:bookmarkStart w:id="178" w:name="_Toc389214822"/>
      <w:bookmarkStart w:id="179" w:name="_Toc396989149"/>
      <w:r w:rsidRPr="0088266E">
        <w:t>Record Response and Comments on the ECF Transaction</w:t>
      </w:r>
      <w:bookmarkEnd w:id="178"/>
      <w:bookmarkEnd w:id="179"/>
    </w:p>
    <w:p w:rsidR="00DE4AB8" w:rsidRPr="0088266E" w:rsidRDefault="00DE4AB8" w:rsidP="00DE4AB8">
      <w:pPr>
        <w:rPr>
          <w:rFonts w:cs="Arial"/>
        </w:rPr>
      </w:pPr>
      <w:r w:rsidRPr="0088266E">
        <w:rPr>
          <w:rFonts w:cs="Arial"/>
        </w:rPr>
        <w:t xml:space="preserve">Once the claim and all relevant documentation have been reviewed and any exceptions dealt with, each Agreement Party </w:t>
      </w:r>
      <w:r w:rsidRPr="0088266E">
        <w:rPr>
          <w:rFonts w:cs="Arial"/>
          <w:b/>
        </w:rPr>
        <w:t>must</w:t>
      </w:r>
      <w:r w:rsidRPr="0088266E">
        <w:rPr>
          <w:rFonts w:cs="Arial"/>
        </w:rPr>
        <w:t xml:space="preserve"> respond to the transaction in progress and record any comments and instructions relating to the claim (note that </w:t>
      </w:r>
      <w:r w:rsidRPr="0088266E">
        <w:rPr>
          <w:rFonts w:cs="Arial"/>
          <w:b/>
        </w:rPr>
        <w:t>Public comments are mandatory</w:t>
      </w:r>
      <w:r w:rsidRPr="0088266E">
        <w:rPr>
          <w:rFonts w:cs="Arial"/>
        </w:rPr>
        <w:t>).</w:t>
      </w:r>
    </w:p>
    <w:p w:rsidR="00DE4AB8" w:rsidRPr="0088266E" w:rsidRDefault="00DE4AB8" w:rsidP="00C14056">
      <w:pPr>
        <w:pStyle w:val="Bullets2"/>
        <w:numPr>
          <w:ilvl w:val="0"/>
          <w:numId w:val="108"/>
        </w:numPr>
        <w:tabs>
          <w:tab w:val="clear" w:pos="1505"/>
          <w:tab w:val="num" w:pos="1145"/>
        </w:tabs>
        <w:ind w:left="360"/>
      </w:pPr>
      <w:r w:rsidRPr="0088266E">
        <w:t xml:space="preserve">The Lead Agreement Party </w:t>
      </w:r>
      <w:r w:rsidRPr="0088266E">
        <w:rPr>
          <w:b/>
        </w:rPr>
        <w:t>must</w:t>
      </w:r>
      <w:r w:rsidRPr="0088266E">
        <w:t xml:space="preserve"> </w:t>
      </w:r>
      <w:r w:rsidR="0088266E" w:rsidRPr="0088266E">
        <w:t>ensure</w:t>
      </w:r>
      <w:r w:rsidRPr="0088266E">
        <w:t xml:space="preserve"> their telephone number in the “Lead Contact Phone No.” field.</w:t>
      </w:r>
      <w:r w:rsidR="005410BB">
        <w:t xml:space="preserve"> Your phone number will auto populate with the number held against your login credentials. If your phone number is not displaying or is displaying incorrectly speak to your internal CLASS administrator to amend.</w:t>
      </w:r>
    </w:p>
    <w:p w:rsidR="003A70B2" w:rsidRDefault="003A70B2" w:rsidP="00C14056">
      <w:pPr>
        <w:pStyle w:val="NormalIndent"/>
        <w:ind w:left="0"/>
        <w:jc w:val="both"/>
        <w:rPr>
          <w:rFonts w:cs="Arial"/>
          <w:iCs/>
        </w:rPr>
      </w:pPr>
    </w:p>
    <w:p w:rsidR="00DE4AB8" w:rsidRDefault="00DE4AB8" w:rsidP="00C14056">
      <w:pPr>
        <w:pStyle w:val="Bullets2"/>
        <w:numPr>
          <w:ilvl w:val="0"/>
          <w:numId w:val="108"/>
        </w:numPr>
        <w:ind w:left="360"/>
      </w:pPr>
      <w:r w:rsidRPr="006654D6">
        <w:t xml:space="preserve">If it is the Second Lead that is responding, then a contact name </w:t>
      </w:r>
      <w:r w:rsidRPr="006654D6">
        <w:rPr>
          <w:b/>
        </w:rPr>
        <w:t>must</w:t>
      </w:r>
      <w:r w:rsidRPr="006654D6">
        <w:t xml:space="preserve"> be entered in the “Second Lead Contact Name” field and </w:t>
      </w:r>
      <w:r w:rsidR="006654D6" w:rsidRPr="006654D6">
        <w:t>ensure their phone number is populated within</w:t>
      </w:r>
      <w:r w:rsidRPr="006654D6">
        <w:t xml:space="preserve"> the “Second Lead Contact Phone No.” field.</w:t>
      </w:r>
      <w:r w:rsidR="005410BB">
        <w:t xml:space="preserve"> </w:t>
      </w:r>
    </w:p>
    <w:p w:rsidR="005410BB" w:rsidRDefault="005410BB" w:rsidP="005410BB">
      <w:pPr>
        <w:pStyle w:val="Bullets2"/>
        <w:numPr>
          <w:ilvl w:val="0"/>
          <w:numId w:val="0"/>
        </w:numPr>
        <w:tabs>
          <w:tab w:val="clear" w:pos="1505"/>
        </w:tabs>
        <w:ind w:left="360"/>
      </w:pPr>
    </w:p>
    <w:p w:rsidR="005410BB" w:rsidRPr="006654D6" w:rsidRDefault="005410BB" w:rsidP="00C14056">
      <w:pPr>
        <w:pStyle w:val="Bullets2"/>
        <w:numPr>
          <w:ilvl w:val="0"/>
          <w:numId w:val="108"/>
        </w:numPr>
        <w:ind w:left="360"/>
      </w:pPr>
      <w:r w:rsidRPr="005410BB">
        <w:rPr>
          <w:b/>
        </w:rPr>
        <w:t>Note:</w:t>
      </w:r>
      <w:r>
        <w:rPr>
          <w:b/>
        </w:rPr>
        <w:t xml:space="preserve"> </w:t>
      </w:r>
      <w:r>
        <w:t>Your phone number will auto populate with the number held against your login credentials. If your phone number is not displaying or is displaying incorrectly speak to your internal CLASS administrator to amend.</w:t>
      </w:r>
    </w:p>
    <w:p w:rsidR="003A70B2" w:rsidRDefault="003A70B2" w:rsidP="00C14056">
      <w:pPr>
        <w:pStyle w:val="Bullets2"/>
        <w:numPr>
          <w:ilvl w:val="0"/>
          <w:numId w:val="0"/>
        </w:numPr>
        <w:tabs>
          <w:tab w:val="clear" w:pos="1505"/>
        </w:tabs>
        <w:ind w:left="491"/>
      </w:pPr>
    </w:p>
    <w:p w:rsidR="00DE4AB8" w:rsidRPr="00D53B87" w:rsidRDefault="00DE4AB8" w:rsidP="00C14056">
      <w:pPr>
        <w:pStyle w:val="Bullets2"/>
        <w:numPr>
          <w:ilvl w:val="0"/>
          <w:numId w:val="108"/>
        </w:numPr>
        <w:ind w:left="360"/>
      </w:pPr>
      <w:r w:rsidRPr="00D53B87">
        <w:t xml:space="preserve">If it </w:t>
      </w:r>
      <w:r w:rsidR="00D53B87" w:rsidRPr="00D53B87">
        <w:t>a service provider</w:t>
      </w:r>
      <w:r w:rsidRPr="00D53B87">
        <w:t xml:space="preserve"> is responding</w:t>
      </w:r>
      <w:r w:rsidR="006654D6" w:rsidRPr="00D53B87">
        <w:t xml:space="preserve"> in a delegated role</w:t>
      </w:r>
      <w:r w:rsidRPr="00D53B87">
        <w:t xml:space="preserve">, </w:t>
      </w:r>
      <w:r w:rsidR="006654D6" w:rsidRPr="00D53B87">
        <w:t>a</w:t>
      </w:r>
      <w:r w:rsidRPr="00D53B87">
        <w:t xml:space="preserve"> contact name </w:t>
      </w:r>
      <w:r w:rsidRPr="00D53B87">
        <w:rPr>
          <w:b/>
        </w:rPr>
        <w:t>must</w:t>
      </w:r>
      <w:r w:rsidR="006654D6" w:rsidRPr="00D53B87">
        <w:t xml:space="preserve"> be entered in the “</w:t>
      </w:r>
      <w:r w:rsidRPr="00D53B87">
        <w:t xml:space="preserve">Contact Name” </w:t>
      </w:r>
      <w:r w:rsidR="006654D6" w:rsidRPr="00D53B87">
        <w:t>and “</w:t>
      </w:r>
      <w:r w:rsidRPr="00D53B87">
        <w:t>Contact Phone No.” field.</w:t>
      </w:r>
    </w:p>
    <w:p w:rsidR="003A70B2" w:rsidRDefault="003A70B2" w:rsidP="00C14056">
      <w:pPr>
        <w:pStyle w:val="NormalIndent"/>
        <w:ind w:left="0"/>
        <w:jc w:val="both"/>
        <w:rPr>
          <w:rFonts w:cs="Arial"/>
          <w:iCs/>
        </w:rPr>
      </w:pPr>
    </w:p>
    <w:p w:rsidR="00DE4AB8" w:rsidRPr="00051BC1" w:rsidRDefault="00DE4AB8" w:rsidP="00C14056">
      <w:pPr>
        <w:pStyle w:val="Bullets2"/>
        <w:numPr>
          <w:ilvl w:val="0"/>
          <w:numId w:val="108"/>
        </w:numPr>
        <w:ind w:left="360"/>
      </w:pPr>
      <w:r w:rsidRPr="00051BC1">
        <w:t>Each Agreement Party can view their share of the financials by clicking on the “Your Share” radio button. To revert back to 100% of order, click the corresponding radio button. It is important to note that this function will only display one Syndicate share at a time (i.e. the 1</w:t>
      </w:r>
      <w:r w:rsidRPr="00051BC1">
        <w:rPr>
          <w:vertAlign w:val="superscript"/>
        </w:rPr>
        <w:t>st</w:t>
      </w:r>
      <w:r w:rsidRPr="00051BC1">
        <w:t xml:space="preserve"> Syndicate to which your user ID relates). It will not, for example, combine all of a Syndicate’s separate lines/separate Syndicates, to display the total share, but rather the share represented by the first Syndicate reference as recorded on the system.</w:t>
      </w:r>
    </w:p>
    <w:p w:rsidR="003A70B2" w:rsidRDefault="003A70B2" w:rsidP="00C14056">
      <w:pPr>
        <w:pStyle w:val="Bullets2"/>
        <w:numPr>
          <w:ilvl w:val="0"/>
          <w:numId w:val="0"/>
        </w:numPr>
        <w:tabs>
          <w:tab w:val="clear" w:pos="1505"/>
        </w:tabs>
        <w:ind w:left="491"/>
      </w:pPr>
    </w:p>
    <w:p w:rsidR="00DE4AB8" w:rsidRPr="00051BC1" w:rsidRDefault="00DE4AB8" w:rsidP="00C14056">
      <w:pPr>
        <w:pStyle w:val="Bullets2"/>
        <w:numPr>
          <w:ilvl w:val="0"/>
          <w:numId w:val="108"/>
        </w:numPr>
        <w:ind w:left="360"/>
      </w:pPr>
      <w:r w:rsidRPr="00051BC1">
        <w:t xml:space="preserve">Lead Agreement Parties may enter alternative reserves to those advised by the broker. </w:t>
      </w:r>
      <w:r w:rsidRPr="00D33C8D">
        <w:t>See section</w:t>
      </w:r>
      <w:r w:rsidR="000E187E">
        <w:t xml:space="preserve"> </w:t>
      </w:r>
      <w:hyperlink w:anchor="_Reserving_as_a" w:history="1">
        <w:r w:rsidR="000E187E" w:rsidRPr="000E187E">
          <w:rPr>
            <w:rStyle w:val="Hyperlink"/>
          </w:rPr>
          <w:t>2.7</w:t>
        </w:r>
      </w:hyperlink>
    </w:p>
    <w:p w:rsidR="004E6E94" w:rsidRDefault="004E6E94" w:rsidP="004E6E94">
      <w:pPr>
        <w:pStyle w:val="Heading3"/>
      </w:pPr>
      <w:bookmarkStart w:id="180" w:name="_Toc389214823"/>
      <w:bookmarkStart w:id="181" w:name="_Toc396989150"/>
      <w:r w:rsidRPr="00D64309">
        <w:t>‘Comments’ Section</w:t>
      </w:r>
      <w:bookmarkEnd w:id="180"/>
      <w:bookmarkEnd w:id="181"/>
    </w:p>
    <w:p w:rsidR="00D15101" w:rsidRDefault="004E6E94" w:rsidP="00D15101">
      <w:pPr>
        <w:pStyle w:val="Bullets"/>
        <w:numPr>
          <w:ilvl w:val="0"/>
          <w:numId w:val="0"/>
        </w:numPr>
        <w:ind w:left="397" w:hanging="397"/>
        <w:rPr>
          <w:rFonts w:cs="Arial"/>
        </w:rPr>
      </w:pPr>
      <w:r w:rsidRPr="00D64309">
        <w:rPr>
          <w:rFonts w:cs="Arial"/>
        </w:rPr>
        <w:t xml:space="preserve">The Comments section allows public and private information to be </w:t>
      </w:r>
      <w:r w:rsidR="00D15101">
        <w:rPr>
          <w:rFonts w:cs="Arial"/>
        </w:rPr>
        <w:t>entered by individual a</w:t>
      </w:r>
      <w:r>
        <w:rPr>
          <w:rFonts w:cs="Arial"/>
        </w:rPr>
        <w:t>greement</w:t>
      </w:r>
    </w:p>
    <w:p w:rsidR="004E6E94" w:rsidRDefault="004E6E94" w:rsidP="00D15101">
      <w:pPr>
        <w:pStyle w:val="Bullets"/>
        <w:numPr>
          <w:ilvl w:val="0"/>
          <w:numId w:val="0"/>
        </w:numPr>
        <w:ind w:left="397" w:hanging="397"/>
        <w:rPr>
          <w:rFonts w:cs="Arial"/>
        </w:rPr>
      </w:pPr>
      <w:r>
        <w:rPr>
          <w:rFonts w:cs="Arial"/>
        </w:rPr>
        <w:t>parties authorising the t</w:t>
      </w:r>
      <w:r w:rsidRPr="00D64309">
        <w:rPr>
          <w:rFonts w:cs="Arial"/>
        </w:rPr>
        <w:t>ransaction.</w:t>
      </w:r>
    </w:p>
    <w:p w:rsidR="00D33C8D" w:rsidRDefault="00D33C8D" w:rsidP="00D33C8D">
      <w:pPr>
        <w:pStyle w:val="Bullets"/>
        <w:numPr>
          <w:ilvl w:val="0"/>
          <w:numId w:val="0"/>
        </w:numPr>
        <w:ind w:left="397" w:hanging="397"/>
        <w:rPr>
          <w:rFonts w:cs="Arial"/>
        </w:rPr>
      </w:pPr>
    </w:p>
    <w:p w:rsidR="004E6E94" w:rsidRPr="003A70B2" w:rsidRDefault="004E6E94" w:rsidP="00C14056">
      <w:pPr>
        <w:pStyle w:val="Bullets2"/>
        <w:numPr>
          <w:ilvl w:val="0"/>
          <w:numId w:val="109"/>
        </w:numPr>
        <w:spacing w:after="120"/>
        <w:rPr>
          <w:rFonts w:cs="Arial"/>
        </w:rPr>
      </w:pPr>
      <w:r w:rsidRPr="00CA74BE">
        <w:rPr>
          <w:rFonts w:cs="Arial"/>
        </w:rPr>
        <w:t xml:space="preserve">Note that all comments entered by the authorising participants are stored and displayed in the same block of text. </w:t>
      </w:r>
      <w:r w:rsidR="004C3649" w:rsidRPr="004C3649">
        <w:rPr>
          <w:rFonts w:cs="Arial"/>
        </w:rPr>
        <w:t>For this reason, it is essential that the Agreement Party records the date and their name and organisation preceding the comment so that others are aware of who made the last update.</w:t>
      </w:r>
      <w:r w:rsidRPr="003A70B2">
        <w:rPr>
          <w:rFonts w:cs="Arial"/>
        </w:rPr>
        <w:t xml:space="preserve"> </w:t>
      </w:r>
    </w:p>
    <w:p w:rsidR="004E6E94" w:rsidRPr="003A70B2" w:rsidRDefault="004E6E94" w:rsidP="00C14056">
      <w:pPr>
        <w:pStyle w:val="Bullets2"/>
        <w:numPr>
          <w:ilvl w:val="0"/>
          <w:numId w:val="109"/>
        </w:numPr>
        <w:spacing w:after="120"/>
        <w:rPr>
          <w:rFonts w:cs="Arial"/>
        </w:rPr>
      </w:pPr>
      <w:r w:rsidRPr="003A70B2">
        <w:rPr>
          <w:rFonts w:cs="Arial"/>
        </w:rPr>
        <w:t xml:space="preserve">For second and subsequent </w:t>
      </w:r>
      <w:r w:rsidR="00D33C8D">
        <w:rPr>
          <w:rFonts w:cs="Arial"/>
        </w:rPr>
        <w:t>a</w:t>
      </w:r>
      <w:r w:rsidRPr="003A70B2">
        <w:rPr>
          <w:rFonts w:cs="Arial"/>
        </w:rPr>
        <w:t xml:space="preserve">greement </w:t>
      </w:r>
      <w:r w:rsidR="00D33C8D">
        <w:rPr>
          <w:rFonts w:cs="Arial"/>
        </w:rPr>
        <w:t>p</w:t>
      </w:r>
      <w:r w:rsidRPr="003A70B2">
        <w:rPr>
          <w:rFonts w:cs="Arial"/>
        </w:rPr>
        <w:t xml:space="preserve">arties, the comments of previous </w:t>
      </w:r>
      <w:r w:rsidR="00D33C8D">
        <w:rPr>
          <w:rFonts w:cs="Arial"/>
        </w:rPr>
        <w:t>a</w:t>
      </w:r>
      <w:r w:rsidRPr="003A70B2">
        <w:rPr>
          <w:rFonts w:cs="Arial"/>
        </w:rPr>
        <w:t xml:space="preserve">greement </w:t>
      </w:r>
      <w:r w:rsidR="00D33C8D">
        <w:rPr>
          <w:rFonts w:cs="Arial"/>
        </w:rPr>
        <w:t>p</w:t>
      </w:r>
      <w:r w:rsidRPr="003A70B2">
        <w:rPr>
          <w:rFonts w:cs="Arial"/>
        </w:rPr>
        <w:t xml:space="preserve">arties are displayed as protected and cannot be edited but they may append their own comments. </w:t>
      </w:r>
    </w:p>
    <w:p w:rsidR="004E6E94" w:rsidRPr="003A70B2" w:rsidRDefault="004E6E94" w:rsidP="00C14056">
      <w:pPr>
        <w:pStyle w:val="Bullets2"/>
        <w:numPr>
          <w:ilvl w:val="0"/>
          <w:numId w:val="109"/>
        </w:numPr>
        <w:spacing w:after="120"/>
        <w:rPr>
          <w:rFonts w:cs="Arial"/>
        </w:rPr>
      </w:pPr>
      <w:r w:rsidRPr="003A70B2">
        <w:rPr>
          <w:rFonts w:cs="Arial"/>
        </w:rPr>
        <w:t xml:space="preserve">The data entered in the Public Comments field will be available for Brokers and insurers to view. </w:t>
      </w:r>
    </w:p>
    <w:p w:rsidR="004E6E94" w:rsidRPr="003A70B2" w:rsidRDefault="004E6E94" w:rsidP="00C14056">
      <w:pPr>
        <w:pStyle w:val="Bullets2"/>
        <w:numPr>
          <w:ilvl w:val="0"/>
          <w:numId w:val="109"/>
        </w:numPr>
        <w:spacing w:after="120"/>
        <w:rPr>
          <w:rFonts w:cs="Arial"/>
        </w:rPr>
      </w:pPr>
      <w:r w:rsidRPr="003A70B2">
        <w:rPr>
          <w:rFonts w:cs="Arial"/>
        </w:rPr>
        <w:t>The data entered in the Private Comments field will not be available for Brokers to view – they will only be available to Insurers and XCS (note that if the Private Comments field is full and a document is lodged on the repository, the document should be classified under “Coverage” or the access restricted in order to limit access by brokers). Note also that brokers see a flag in CLASS to alert them to the existence of Private Comments entered in CLASS.</w:t>
      </w:r>
    </w:p>
    <w:p w:rsidR="004E6E94" w:rsidRDefault="004E6E94" w:rsidP="00C14056">
      <w:pPr>
        <w:pStyle w:val="Bullets2"/>
        <w:numPr>
          <w:ilvl w:val="0"/>
          <w:numId w:val="109"/>
        </w:numPr>
        <w:spacing w:after="120"/>
        <w:rPr>
          <w:rFonts w:cs="Arial"/>
        </w:rPr>
      </w:pPr>
      <w:r w:rsidRPr="003A70B2">
        <w:rPr>
          <w:rFonts w:cs="Arial"/>
        </w:rPr>
        <w:lastRenderedPageBreak/>
        <w:t xml:space="preserve">Note that certain symbols cannot be used in these fields due to restrictions in the LIMCLM message. Only the following characters may be used: </w:t>
      </w:r>
      <w:r w:rsidRPr="003A70B2">
        <w:rPr>
          <w:rFonts w:cs="Arial"/>
          <w:b/>
        </w:rPr>
        <w:t>A-Z</w:t>
      </w:r>
      <w:r w:rsidRPr="003A70B2">
        <w:rPr>
          <w:rFonts w:cs="Arial"/>
        </w:rPr>
        <w:t xml:space="preserve">, </w:t>
      </w:r>
      <w:r w:rsidRPr="003A70B2">
        <w:rPr>
          <w:rFonts w:cs="Arial"/>
          <w:b/>
        </w:rPr>
        <w:t>a-z</w:t>
      </w:r>
      <w:r w:rsidR="00130BAB">
        <w:rPr>
          <w:rFonts w:cs="Arial"/>
        </w:rPr>
        <w:t>,</w:t>
      </w:r>
      <w:r w:rsidRPr="003A70B2">
        <w:rPr>
          <w:rFonts w:cs="Arial"/>
          <w:b/>
        </w:rPr>
        <w:t>0123456789</w:t>
      </w:r>
      <w:r w:rsidRPr="003A70B2">
        <w:rPr>
          <w:rFonts w:cs="Arial"/>
        </w:rPr>
        <w:t xml:space="preserve">, </w:t>
      </w:r>
      <w:r w:rsidRPr="003A70B2">
        <w:rPr>
          <w:rFonts w:cs="Arial"/>
          <w:b/>
        </w:rPr>
        <w:t>.,''-()/=+:?!"&amp;;&lt;&gt;*</w:t>
      </w:r>
      <w:r w:rsidR="00130BAB">
        <w:rPr>
          <w:rFonts w:cs="Arial"/>
          <w:b/>
          <w:iCs/>
        </w:rPr>
        <w:t>@</w:t>
      </w:r>
      <w:r w:rsidRPr="003A70B2">
        <w:rPr>
          <w:rFonts w:cs="Arial"/>
        </w:rPr>
        <w:t>. The International Standards Organisation (ISO) currency code convention should be used in these fields e.g. USD, GBP.</w:t>
      </w:r>
    </w:p>
    <w:p w:rsidR="004E6E94" w:rsidRPr="003A70B2" w:rsidRDefault="004E6E94" w:rsidP="00C14056">
      <w:pPr>
        <w:pStyle w:val="NormalIndent"/>
        <w:ind w:left="360"/>
        <w:jc w:val="both"/>
        <w:rPr>
          <w:rFonts w:cs="Arial"/>
          <w:iCs/>
        </w:rPr>
      </w:pPr>
      <w:r w:rsidRPr="003A70B2">
        <w:rPr>
          <w:rFonts w:cs="Arial"/>
          <w:iCs/>
        </w:rPr>
        <w:t xml:space="preserve">XCS </w:t>
      </w:r>
      <w:r w:rsidRPr="003A70B2">
        <w:rPr>
          <w:rFonts w:cs="Arial"/>
          <w:b/>
          <w:iCs/>
        </w:rPr>
        <w:t>must</w:t>
      </w:r>
      <w:r w:rsidRPr="003A70B2">
        <w:rPr>
          <w:rFonts w:cs="Arial"/>
          <w:iCs/>
        </w:rPr>
        <w:t xml:space="preserve"> ensure that following their response to a claim on the ECF, that there is a corresponding record on XCS CLASS.</w:t>
      </w:r>
    </w:p>
    <w:p w:rsidR="00B60AFD" w:rsidRDefault="004E6E94" w:rsidP="004E6E94">
      <w:pPr>
        <w:pStyle w:val="Bullets"/>
        <w:spacing w:after="120"/>
        <w:rPr>
          <w:rFonts w:cs="Arial"/>
        </w:rPr>
      </w:pPr>
      <w:r w:rsidRPr="003A70B2">
        <w:rPr>
          <w:rFonts w:cs="Arial"/>
          <w:b/>
        </w:rPr>
        <w:t xml:space="preserve">Comments are mandatory for all </w:t>
      </w:r>
      <w:r w:rsidR="00D33C8D">
        <w:rPr>
          <w:rFonts w:cs="Arial"/>
          <w:b/>
        </w:rPr>
        <w:t>a</w:t>
      </w:r>
      <w:r w:rsidRPr="003A70B2">
        <w:rPr>
          <w:rFonts w:cs="Arial"/>
          <w:b/>
        </w:rPr>
        <w:t xml:space="preserve">greement </w:t>
      </w:r>
      <w:r w:rsidR="00D33C8D">
        <w:rPr>
          <w:rFonts w:cs="Arial"/>
          <w:b/>
        </w:rPr>
        <w:t>p</w:t>
      </w:r>
      <w:r w:rsidRPr="003A70B2">
        <w:rPr>
          <w:rFonts w:cs="Arial"/>
          <w:b/>
        </w:rPr>
        <w:t>arties</w:t>
      </w:r>
      <w:r w:rsidRPr="003A70B2">
        <w:rPr>
          <w:rFonts w:cs="Arial"/>
        </w:rPr>
        <w:t xml:space="preserve">. Due to the restrictions on the length of this field, Agreement Parties should abide by the following guidelines: Lead Agreement Parties should only use up to 8 lines for their comments, leaving 7 lines for subsequent Agreement Parties, including XCS. </w:t>
      </w:r>
      <w:r w:rsidRPr="003A70B2">
        <w:rPr>
          <w:rFonts w:cs="Arial"/>
          <w:b/>
        </w:rPr>
        <w:t xml:space="preserve">All </w:t>
      </w:r>
      <w:r w:rsidR="00D33C8D">
        <w:rPr>
          <w:rFonts w:cs="Arial"/>
          <w:b/>
        </w:rPr>
        <w:t>a</w:t>
      </w:r>
      <w:r w:rsidRPr="003A70B2">
        <w:rPr>
          <w:rFonts w:cs="Arial"/>
          <w:b/>
        </w:rPr>
        <w:t xml:space="preserve">greement </w:t>
      </w:r>
      <w:r w:rsidR="00D33C8D">
        <w:rPr>
          <w:rFonts w:cs="Arial"/>
          <w:b/>
        </w:rPr>
        <w:t>p</w:t>
      </w:r>
      <w:r w:rsidRPr="003A70B2">
        <w:rPr>
          <w:rFonts w:cs="Arial"/>
          <w:b/>
        </w:rPr>
        <w:t xml:space="preserve">arties must ensure that there is at least enough space left in the comments field for a subsequent </w:t>
      </w:r>
      <w:r w:rsidR="00D33C8D">
        <w:rPr>
          <w:rFonts w:cs="Arial"/>
          <w:b/>
        </w:rPr>
        <w:t>a</w:t>
      </w:r>
      <w:r w:rsidRPr="003A70B2">
        <w:rPr>
          <w:rFonts w:cs="Arial"/>
          <w:b/>
        </w:rPr>
        <w:t xml:space="preserve">greement </w:t>
      </w:r>
      <w:r w:rsidR="00D33C8D">
        <w:rPr>
          <w:rFonts w:cs="Arial"/>
          <w:b/>
        </w:rPr>
        <w:t>p</w:t>
      </w:r>
      <w:r w:rsidRPr="003A70B2">
        <w:rPr>
          <w:rFonts w:cs="Arial"/>
          <w:b/>
        </w:rPr>
        <w:t>arty to adequately reference a document on the IMR</w:t>
      </w:r>
      <w:r w:rsidRPr="003A70B2">
        <w:rPr>
          <w:rFonts w:cs="Arial"/>
        </w:rPr>
        <w:t xml:space="preserve">. Where there is insufficient space for further comments, the </w:t>
      </w:r>
      <w:r w:rsidR="00D33C8D">
        <w:rPr>
          <w:rFonts w:cs="Arial"/>
        </w:rPr>
        <w:t>a</w:t>
      </w:r>
      <w:r w:rsidRPr="003A70B2">
        <w:rPr>
          <w:rFonts w:cs="Arial"/>
        </w:rPr>
        <w:t xml:space="preserve">greement </w:t>
      </w:r>
      <w:r w:rsidR="00D33C8D">
        <w:rPr>
          <w:rFonts w:cs="Arial"/>
        </w:rPr>
        <w:t>p</w:t>
      </w:r>
      <w:r w:rsidRPr="003A70B2">
        <w:rPr>
          <w:rFonts w:cs="Arial"/>
        </w:rPr>
        <w:t xml:space="preserve">arty </w:t>
      </w:r>
      <w:r w:rsidRPr="003A70B2">
        <w:rPr>
          <w:rFonts w:cs="Arial"/>
          <w:b/>
        </w:rPr>
        <w:t>must</w:t>
      </w:r>
      <w:r w:rsidRPr="003A70B2">
        <w:rPr>
          <w:rFonts w:cs="Arial"/>
        </w:rPr>
        <w:t xml:space="preserve"> create a document within the repository for all public comments </w:t>
      </w:r>
      <w:r w:rsidRPr="003A70B2">
        <w:rPr>
          <w:rFonts w:cs="Arial"/>
          <w:b/>
        </w:rPr>
        <w:t>and</w:t>
      </w:r>
      <w:r w:rsidRPr="003A70B2">
        <w:rPr>
          <w:rFonts w:cs="Arial"/>
        </w:rPr>
        <w:t xml:space="preserve"> reference that document in the comments field. </w:t>
      </w:r>
    </w:p>
    <w:p w:rsidR="004E6E94" w:rsidRPr="003A70B2" w:rsidRDefault="004E6E94" w:rsidP="00B60AFD">
      <w:pPr>
        <w:pStyle w:val="Bullets"/>
        <w:numPr>
          <w:ilvl w:val="0"/>
          <w:numId w:val="0"/>
        </w:numPr>
        <w:spacing w:after="120"/>
        <w:ind w:left="397"/>
        <w:rPr>
          <w:rFonts w:cs="Arial"/>
        </w:rPr>
      </w:pPr>
      <w:r w:rsidRPr="003A70B2">
        <w:rPr>
          <w:rFonts w:cs="Arial"/>
        </w:rPr>
        <w:t>Within ECF2 a line count and warning message will assist a user</w:t>
      </w:r>
      <w:r w:rsidRPr="004E6E94">
        <w:rPr>
          <w:rFonts w:cs="Arial"/>
        </w:rPr>
        <w:t xml:space="preserve"> when adding substantial narrative within the comment fields, alerting a user when the 15 line narrative limit has been breached and tracking the line of narrative via a counter.</w:t>
      </w:r>
    </w:p>
    <w:p w:rsidR="004E6E94" w:rsidRPr="00D64309" w:rsidRDefault="004E6E94" w:rsidP="004E6E94">
      <w:pPr>
        <w:pStyle w:val="Bullets"/>
        <w:spacing w:after="120"/>
        <w:rPr>
          <w:rFonts w:cs="Arial"/>
        </w:rPr>
      </w:pPr>
      <w:r w:rsidRPr="00D64309">
        <w:rPr>
          <w:rFonts w:cs="Arial"/>
        </w:rPr>
        <w:t xml:space="preserve">Following the delivery of Phase 7b in November 2008, all CLASS comments from bureau markets are additionally stored on the IMR in the order in which they were posted on CLASS. This functionality removes the previous need to upload comments to a document on the IMR when entering a “Query/Return” response. Note however, that the length of the comments fields remains unchanged, so it may still be necessary to upload a document containing comments when the CLASS field is full (as per the above workaround). Note also that an automated date/time stamp is NOT yet available. Insurers should note that when viewing comments via the IMR, the transaction status code shown next to each comment is mapped to the statuses available to brokers (as per the LIMCLM). These are shown in the table below. </w:t>
      </w:r>
    </w:p>
    <w:p w:rsidR="004E6E94" w:rsidRDefault="004E6E94" w:rsidP="00681AC7">
      <w:pPr>
        <w:pStyle w:val="Bullets"/>
      </w:pPr>
      <w:r w:rsidRPr="00D64309">
        <w:t>If there are no comments associated with a UCR and TR, a message to that effect is displayed.</w:t>
      </w:r>
    </w:p>
    <w:p w:rsidR="00681AC7" w:rsidRDefault="00681AC7" w:rsidP="00681AC7">
      <w:pPr>
        <w:pStyle w:val="Bullets"/>
        <w:numPr>
          <w:ilvl w:val="0"/>
          <w:numId w:val="0"/>
        </w:numPr>
        <w:ind w:left="397"/>
      </w:pPr>
    </w:p>
    <w:p w:rsidR="00DE4AB8" w:rsidRPr="00051BC1" w:rsidRDefault="00DE4AB8" w:rsidP="003A70B2">
      <w:pPr>
        <w:pStyle w:val="Bullets2"/>
      </w:pPr>
      <w:r w:rsidRPr="00051BC1">
        <w:t xml:space="preserve">Once the information displayed has been reviewed and the </w:t>
      </w:r>
      <w:r w:rsidR="00681AC7">
        <w:t>a</w:t>
      </w:r>
      <w:r w:rsidRPr="00051BC1">
        <w:t xml:space="preserve">greement </w:t>
      </w:r>
      <w:r w:rsidR="00681AC7">
        <w:t>p</w:t>
      </w:r>
      <w:r w:rsidRPr="00051BC1">
        <w:t xml:space="preserve">arty is ready to enter a response, click on the radio button that reflects the appropriate response. </w:t>
      </w:r>
      <w:r w:rsidRPr="00681AC7">
        <w:t xml:space="preserve">See </w:t>
      </w:r>
      <w:r w:rsidR="00681AC7" w:rsidRPr="00681AC7">
        <w:t xml:space="preserve">the table below and </w:t>
      </w:r>
      <w:r w:rsidRPr="00681AC7">
        <w:t>section</w:t>
      </w:r>
      <w:r w:rsidR="000E187E">
        <w:t xml:space="preserve"> </w:t>
      </w:r>
      <w:hyperlink w:anchor="_Response_Codes_&amp;" w:history="1">
        <w:r w:rsidR="000E187E" w:rsidRPr="000E187E">
          <w:rPr>
            <w:rStyle w:val="Hyperlink"/>
          </w:rPr>
          <w:t>2</w:t>
        </w:r>
        <w:r w:rsidR="00681AC7" w:rsidRPr="000E187E">
          <w:rPr>
            <w:rStyle w:val="Hyperlink"/>
          </w:rPr>
          <w:t>.</w:t>
        </w:r>
        <w:r w:rsidR="000E187E" w:rsidRPr="000E187E">
          <w:rPr>
            <w:rStyle w:val="Hyperlink"/>
          </w:rPr>
          <w:t>7</w:t>
        </w:r>
        <w:r w:rsidR="00681AC7" w:rsidRPr="000E187E">
          <w:rPr>
            <w:rStyle w:val="Hyperlink"/>
          </w:rPr>
          <w:t>.4</w:t>
        </w:r>
      </w:hyperlink>
      <w:r w:rsidR="00681AC7">
        <w:t xml:space="preserve"> for the av</w:t>
      </w:r>
      <w:r w:rsidRPr="00681AC7">
        <w:t>aila</w:t>
      </w:r>
      <w:r w:rsidRPr="00051BC1">
        <w:t>ble responses and when they should be used.</w:t>
      </w:r>
    </w:p>
    <w:p w:rsidR="003A70B2" w:rsidRDefault="003A70B2" w:rsidP="003A70B2">
      <w:pPr>
        <w:pStyle w:val="Bullets2"/>
        <w:numPr>
          <w:ilvl w:val="0"/>
          <w:numId w:val="0"/>
        </w:numPr>
        <w:ind w:left="851"/>
      </w:pPr>
    </w:p>
    <w:p w:rsidR="00DE4AB8" w:rsidRPr="00051BC1" w:rsidRDefault="00DE4AB8" w:rsidP="003A70B2">
      <w:pPr>
        <w:pStyle w:val="Bullets2"/>
      </w:pPr>
      <w:r w:rsidRPr="00051BC1">
        <w:t xml:space="preserve">Not all responses will be made available to the broker, only Lloyd’s Syndicates, XCS and universal (system admin) users would be able to see the response types in the ECF </w:t>
      </w:r>
      <w:r w:rsidR="00681AC7">
        <w:t>r</w:t>
      </w:r>
      <w:r w:rsidRPr="00051BC1">
        <w:t xml:space="preserve">esponse and </w:t>
      </w:r>
      <w:r w:rsidR="00681AC7">
        <w:t>m</w:t>
      </w:r>
      <w:r w:rsidRPr="00051BC1">
        <w:t xml:space="preserve">arket </w:t>
      </w:r>
      <w:r w:rsidR="00681AC7">
        <w:t>r</w:t>
      </w:r>
      <w:r w:rsidRPr="00051BC1">
        <w:t xml:space="preserve">esponse screens. Brokers will see traditional Broker responses (i.e. those advised in the LIMCLM message), and </w:t>
      </w:r>
      <w:r w:rsidRPr="00051BC1">
        <w:rPr>
          <w:b/>
        </w:rPr>
        <w:t>must always</w:t>
      </w:r>
      <w:r w:rsidRPr="00051BC1">
        <w:t xml:space="preserve"> therefore refer to the comments added by the Agreement Party. </w:t>
      </w:r>
    </w:p>
    <w:p w:rsidR="00B60AFD" w:rsidRPr="00C14056" w:rsidRDefault="00B60AFD" w:rsidP="00C14056">
      <w:pPr>
        <w:pStyle w:val="Heading3"/>
      </w:pPr>
      <w:bookmarkStart w:id="182" w:name="_Toc389214824"/>
      <w:bookmarkStart w:id="183" w:name="_Toc396989151"/>
      <w:r w:rsidRPr="00C14056">
        <w:t>Actions &amp; Submissions in ECF</w:t>
      </w:r>
      <w:bookmarkEnd w:id="182"/>
      <w:bookmarkEnd w:id="183"/>
    </w:p>
    <w:p w:rsidR="00DE4AB8" w:rsidRPr="00DE4AB8" w:rsidRDefault="00DE4AB8" w:rsidP="00DE4AB8">
      <w:pPr>
        <w:spacing w:after="120"/>
        <w:rPr>
          <w:rFonts w:cs="Arial"/>
        </w:rPr>
      </w:pPr>
      <w:r w:rsidRPr="00DE4AB8">
        <w:rPr>
          <w:rFonts w:cs="Arial"/>
        </w:rPr>
        <w:t xml:space="preserve">A transaction with a response of </w:t>
      </w:r>
      <w:r w:rsidRPr="00DE4AB8">
        <w:rPr>
          <w:rFonts w:cs="Arial"/>
          <w:b/>
        </w:rPr>
        <w:t>seen/action or agree pay</w:t>
      </w:r>
      <w:r w:rsidRPr="00DE4AB8">
        <w:rPr>
          <w:rFonts w:cs="Arial"/>
        </w:rPr>
        <w:t xml:space="preserve"> by all Agreement Parties will be made available to XCS for subsequent processing, creation of SCM records (including reserves) and settlement. Any other response from any Agreement Party will prevent the advice of the claim in SCM and prevent the further processing of a settlement request.</w:t>
      </w:r>
    </w:p>
    <w:p w:rsidR="00DE4AB8" w:rsidRDefault="00DE4AB8" w:rsidP="00C14056">
      <w:pPr>
        <w:pStyle w:val="Bullets2"/>
        <w:numPr>
          <w:ilvl w:val="0"/>
          <w:numId w:val="111"/>
        </w:numPr>
        <w:tabs>
          <w:tab w:val="clear" w:pos="1505"/>
          <w:tab w:val="num" w:pos="1145"/>
        </w:tabs>
        <w:ind w:left="360"/>
      </w:pPr>
      <w:r w:rsidRPr="00DE4AB8">
        <w:t xml:space="preserve">If an Agreement Party enters a response of </w:t>
      </w:r>
      <w:r w:rsidRPr="00DE4AB8">
        <w:rPr>
          <w:b/>
        </w:rPr>
        <w:t>query/return</w:t>
      </w:r>
      <w:r w:rsidRPr="00DE4AB8">
        <w:t xml:space="preserve">, the transaction will be in a queried state. But that party </w:t>
      </w:r>
      <w:r w:rsidRPr="00DE4AB8">
        <w:rPr>
          <w:b/>
        </w:rPr>
        <w:t>must</w:t>
      </w:r>
      <w:r w:rsidRPr="00DE4AB8">
        <w:t xml:space="preserve"> only discuss with the Lead Agreement Party (which may result in the Lead Agreement Party altering their response) or enter a </w:t>
      </w:r>
      <w:r w:rsidRPr="00DE4AB8">
        <w:rPr>
          <w:b/>
        </w:rPr>
        <w:t>query/return</w:t>
      </w:r>
      <w:r w:rsidRPr="00DE4AB8">
        <w:t xml:space="preserve"> response. Subsequent agreement parties will also have the ability to monitor queried UCRs that remain incomplete within the ECF004 report.</w:t>
      </w:r>
    </w:p>
    <w:p w:rsidR="00B60AFD" w:rsidRDefault="00B60AFD" w:rsidP="00C14056">
      <w:pPr>
        <w:pStyle w:val="Bullets2"/>
        <w:numPr>
          <w:ilvl w:val="0"/>
          <w:numId w:val="0"/>
        </w:numPr>
        <w:tabs>
          <w:tab w:val="clear" w:pos="1505"/>
        </w:tabs>
        <w:ind w:left="491"/>
      </w:pPr>
    </w:p>
    <w:p w:rsidR="006556E7" w:rsidRPr="006556E7" w:rsidRDefault="006556E7" w:rsidP="00C14056">
      <w:pPr>
        <w:pStyle w:val="Bullets2"/>
        <w:numPr>
          <w:ilvl w:val="0"/>
          <w:numId w:val="111"/>
        </w:numPr>
        <w:spacing w:after="120"/>
        <w:ind w:left="360"/>
        <w:rPr>
          <w:rFonts w:cs="Arial"/>
        </w:rPr>
      </w:pPr>
      <w:r w:rsidRPr="006556E7">
        <w:rPr>
          <w:rFonts w:cs="Arial"/>
        </w:rPr>
        <w:t xml:space="preserve">If the response of </w:t>
      </w:r>
      <w:r w:rsidRPr="006556E7">
        <w:rPr>
          <w:rFonts w:cs="Arial"/>
          <w:b/>
        </w:rPr>
        <w:t>query/return</w:t>
      </w:r>
      <w:r w:rsidRPr="006556E7">
        <w:rPr>
          <w:rFonts w:cs="Arial"/>
        </w:rPr>
        <w:t xml:space="preserve"> has been entered by the Lead Agreement Party it will have a transaction status of ‘AAQ’.</w:t>
      </w:r>
    </w:p>
    <w:p w:rsidR="006556E7" w:rsidRPr="00CA74BE" w:rsidRDefault="006556E7" w:rsidP="00C14056">
      <w:pPr>
        <w:pStyle w:val="Bullets2"/>
        <w:numPr>
          <w:ilvl w:val="0"/>
          <w:numId w:val="111"/>
        </w:numPr>
        <w:spacing w:after="120"/>
        <w:ind w:left="360"/>
        <w:rPr>
          <w:rFonts w:cs="Arial"/>
        </w:rPr>
      </w:pPr>
      <w:r w:rsidRPr="006556E7">
        <w:rPr>
          <w:rFonts w:cs="Arial"/>
        </w:rPr>
        <w:t xml:space="preserve">If the Lead Agreement Party has entered a response other than </w:t>
      </w:r>
      <w:r w:rsidRPr="006556E7">
        <w:rPr>
          <w:rFonts w:cs="Arial"/>
          <w:b/>
        </w:rPr>
        <w:t>query/return</w:t>
      </w:r>
      <w:r w:rsidRPr="006556E7">
        <w:rPr>
          <w:rFonts w:cs="Arial"/>
        </w:rPr>
        <w:t xml:space="preserve">, but a response of </w:t>
      </w:r>
      <w:r w:rsidRPr="006556E7">
        <w:rPr>
          <w:rFonts w:cs="Arial"/>
          <w:b/>
        </w:rPr>
        <w:t>query/return</w:t>
      </w:r>
      <w:r w:rsidRPr="006556E7">
        <w:rPr>
          <w:rFonts w:cs="Arial"/>
        </w:rPr>
        <w:t xml:space="preserve"> has been entered by a subsequent Agreement Party; it will have a transaction status of ‘PAR’.</w:t>
      </w:r>
    </w:p>
    <w:p w:rsidR="006556E7" w:rsidRDefault="006556E7" w:rsidP="00C14056">
      <w:pPr>
        <w:pStyle w:val="Bullets2"/>
        <w:numPr>
          <w:ilvl w:val="0"/>
          <w:numId w:val="111"/>
        </w:numPr>
        <w:spacing w:after="120"/>
        <w:ind w:left="360"/>
        <w:rPr>
          <w:rFonts w:cs="Arial"/>
        </w:rPr>
      </w:pPr>
      <w:r w:rsidRPr="00CA74BE">
        <w:rPr>
          <w:rFonts w:cs="Arial"/>
        </w:rPr>
        <w:lastRenderedPageBreak/>
        <w:t>Transactions with a status of ‘PAR’ will remain with this transaction status until all Agreement Parties have entered a response</w:t>
      </w:r>
      <w:r w:rsidRPr="006556E7">
        <w:rPr>
          <w:rFonts w:cs="Arial"/>
        </w:rPr>
        <w:t xml:space="preserve"> of </w:t>
      </w:r>
      <w:r w:rsidRPr="006556E7">
        <w:rPr>
          <w:rFonts w:cs="Arial"/>
          <w:b/>
        </w:rPr>
        <w:t>seen/action</w:t>
      </w:r>
      <w:r w:rsidRPr="006556E7">
        <w:rPr>
          <w:rFonts w:cs="Arial"/>
        </w:rPr>
        <w:t xml:space="preserve"> or </w:t>
      </w:r>
      <w:r w:rsidRPr="006556E7">
        <w:rPr>
          <w:rFonts w:cs="Arial"/>
          <w:b/>
        </w:rPr>
        <w:t>agree pay</w:t>
      </w:r>
      <w:r w:rsidRPr="006556E7">
        <w:rPr>
          <w:rFonts w:cs="Arial"/>
        </w:rPr>
        <w:t>, at which time it will have a transaction status of ‘AUT’.</w:t>
      </w:r>
    </w:p>
    <w:p w:rsidR="00B60AFD" w:rsidRDefault="00B60AFD" w:rsidP="00B60AFD">
      <w:pPr>
        <w:rPr>
          <w:rFonts w:cs="Arial"/>
        </w:rPr>
      </w:pPr>
      <w:r w:rsidRPr="00B60AFD">
        <w:rPr>
          <w:rFonts w:cs="Arial"/>
        </w:rPr>
        <w:t>Separate to a response submission is the status of each transaction. This confirms the TR status within the UCR summary. The status codes available are described in the following table:</w:t>
      </w:r>
    </w:p>
    <w:p w:rsidR="00D15101" w:rsidRPr="00B60AFD" w:rsidRDefault="00D15101" w:rsidP="00B60AFD">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686"/>
      </w:tblGrid>
      <w:tr w:rsidR="00B60AFD" w:rsidRPr="00D64309" w:rsidTr="00B60AFD">
        <w:trPr>
          <w:trHeight w:hRule="exact" w:val="397"/>
          <w:jc w:val="center"/>
        </w:trPr>
        <w:tc>
          <w:tcPr>
            <w:tcW w:w="2692" w:type="dxa"/>
            <w:shd w:val="clear" w:color="auto" w:fill="C0C0C0"/>
            <w:vAlign w:val="center"/>
          </w:tcPr>
          <w:p w:rsidR="00B60AFD" w:rsidRPr="00D64309" w:rsidRDefault="00B60AFD" w:rsidP="00B60AFD">
            <w:pPr>
              <w:tabs>
                <w:tab w:val="left" w:pos="-2835"/>
              </w:tabs>
              <w:ind w:left="-15"/>
              <w:jc w:val="center"/>
              <w:rPr>
                <w:rFonts w:cs="Arial"/>
                <w:b/>
              </w:rPr>
            </w:pPr>
            <w:r w:rsidRPr="00D64309">
              <w:rPr>
                <w:rFonts w:cs="Arial"/>
                <w:b/>
              </w:rPr>
              <w:t>Status Code</w:t>
            </w:r>
          </w:p>
        </w:tc>
        <w:tc>
          <w:tcPr>
            <w:tcW w:w="3686" w:type="dxa"/>
            <w:shd w:val="clear" w:color="auto" w:fill="C0C0C0"/>
            <w:vAlign w:val="center"/>
          </w:tcPr>
          <w:p w:rsidR="00B60AFD" w:rsidRPr="00D64309" w:rsidRDefault="00B60AFD" w:rsidP="00B60AFD">
            <w:pPr>
              <w:tabs>
                <w:tab w:val="left" w:pos="-2835"/>
              </w:tabs>
              <w:jc w:val="center"/>
              <w:rPr>
                <w:rFonts w:cs="Arial"/>
                <w:b/>
              </w:rPr>
            </w:pPr>
            <w:r w:rsidRPr="00D64309">
              <w:rPr>
                <w:rFonts w:cs="Arial"/>
                <w:b/>
              </w:rPr>
              <w:t>Description</w:t>
            </w:r>
          </w:p>
        </w:tc>
      </w:tr>
      <w:tr w:rsidR="00B60AFD" w:rsidRPr="00D64309" w:rsidTr="00B60AFD">
        <w:trPr>
          <w:trHeight w:hRule="exact" w:val="397"/>
          <w:jc w:val="center"/>
        </w:trPr>
        <w:tc>
          <w:tcPr>
            <w:tcW w:w="2692" w:type="dxa"/>
            <w:vAlign w:val="center"/>
          </w:tcPr>
          <w:p w:rsidR="00B60AFD" w:rsidRPr="00D64309" w:rsidRDefault="00B60AFD" w:rsidP="00B60AFD">
            <w:pPr>
              <w:tabs>
                <w:tab w:val="left" w:pos="-2835"/>
              </w:tabs>
              <w:ind w:left="-15"/>
              <w:jc w:val="center"/>
              <w:rPr>
                <w:rFonts w:cs="Arial"/>
              </w:rPr>
            </w:pPr>
            <w:r w:rsidRPr="00D64309">
              <w:rPr>
                <w:rFonts w:cs="Arial"/>
              </w:rPr>
              <w:t>AAQ</w:t>
            </w:r>
          </w:p>
        </w:tc>
        <w:tc>
          <w:tcPr>
            <w:tcW w:w="3686" w:type="dxa"/>
            <w:vAlign w:val="center"/>
          </w:tcPr>
          <w:p w:rsidR="00B60AFD" w:rsidRPr="00D64309" w:rsidRDefault="00B60AFD" w:rsidP="00B60AFD">
            <w:pPr>
              <w:tabs>
                <w:tab w:val="left" w:pos="-2835"/>
              </w:tabs>
              <w:jc w:val="center"/>
              <w:rPr>
                <w:rFonts w:cs="Arial"/>
              </w:rPr>
            </w:pPr>
            <w:r w:rsidRPr="00D64309">
              <w:rPr>
                <w:rFonts w:cs="Arial"/>
              </w:rPr>
              <w:t>Awaiting Action or Queried by the lead</w:t>
            </w:r>
          </w:p>
        </w:tc>
      </w:tr>
      <w:tr w:rsidR="00B60AFD" w:rsidRPr="00D64309" w:rsidTr="00B60AFD">
        <w:trPr>
          <w:trHeight w:hRule="exact" w:val="397"/>
          <w:jc w:val="center"/>
        </w:trPr>
        <w:tc>
          <w:tcPr>
            <w:tcW w:w="2692" w:type="dxa"/>
            <w:vAlign w:val="center"/>
          </w:tcPr>
          <w:p w:rsidR="00B60AFD" w:rsidRPr="00D64309" w:rsidRDefault="00B60AFD" w:rsidP="00B60AFD">
            <w:pPr>
              <w:tabs>
                <w:tab w:val="left" w:pos="-2835"/>
              </w:tabs>
              <w:ind w:left="-15"/>
              <w:jc w:val="center"/>
              <w:rPr>
                <w:rFonts w:cs="Arial"/>
              </w:rPr>
            </w:pPr>
            <w:r w:rsidRPr="00D64309">
              <w:rPr>
                <w:rFonts w:cs="Arial"/>
              </w:rPr>
              <w:t>PAR</w:t>
            </w:r>
          </w:p>
        </w:tc>
        <w:tc>
          <w:tcPr>
            <w:tcW w:w="3686" w:type="dxa"/>
            <w:vAlign w:val="center"/>
          </w:tcPr>
          <w:p w:rsidR="00B60AFD" w:rsidRPr="00D64309" w:rsidRDefault="00B60AFD" w:rsidP="00B60AFD">
            <w:pPr>
              <w:tabs>
                <w:tab w:val="left" w:pos="-2835"/>
              </w:tabs>
              <w:jc w:val="center"/>
              <w:rPr>
                <w:rFonts w:cs="Arial"/>
              </w:rPr>
            </w:pPr>
            <w:r w:rsidRPr="00D64309">
              <w:rPr>
                <w:rFonts w:cs="Arial"/>
              </w:rPr>
              <w:t>Partially authorised</w:t>
            </w:r>
          </w:p>
        </w:tc>
      </w:tr>
      <w:tr w:rsidR="00B60AFD" w:rsidRPr="00D64309" w:rsidTr="00B60AFD">
        <w:trPr>
          <w:trHeight w:hRule="exact" w:val="397"/>
          <w:jc w:val="center"/>
        </w:trPr>
        <w:tc>
          <w:tcPr>
            <w:tcW w:w="2692" w:type="dxa"/>
            <w:vAlign w:val="center"/>
          </w:tcPr>
          <w:p w:rsidR="00B60AFD" w:rsidRPr="005B2FBB" w:rsidRDefault="00B60AFD" w:rsidP="00B60AFD">
            <w:pPr>
              <w:tabs>
                <w:tab w:val="left" w:pos="-2835"/>
              </w:tabs>
              <w:ind w:left="-15"/>
              <w:jc w:val="center"/>
              <w:rPr>
                <w:rFonts w:cs="Arial"/>
              </w:rPr>
            </w:pPr>
            <w:r w:rsidRPr="005B2FBB">
              <w:rPr>
                <w:rFonts w:cs="Arial"/>
              </w:rPr>
              <w:t>AUT</w:t>
            </w:r>
          </w:p>
        </w:tc>
        <w:tc>
          <w:tcPr>
            <w:tcW w:w="3686" w:type="dxa"/>
            <w:vAlign w:val="center"/>
          </w:tcPr>
          <w:p w:rsidR="00B60AFD" w:rsidRPr="00D64309" w:rsidRDefault="00B60AFD" w:rsidP="00B60AFD">
            <w:pPr>
              <w:tabs>
                <w:tab w:val="left" w:pos="-2835"/>
              </w:tabs>
              <w:jc w:val="center"/>
              <w:rPr>
                <w:rFonts w:cs="Arial"/>
              </w:rPr>
            </w:pPr>
            <w:r w:rsidRPr="005B2FBB">
              <w:rPr>
                <w:rFonts w:cs="Arial"/>
              </w:rPr>
              <w:t>Fully Authorised</w:t>
            </w:r>
          </w:p>
        </w:tc>
      </w:tr>
      <w:tr w:rsidR="00B60AFD" w:rsidRPr="00D64309" w:rsidTr="00B60AFD">
        <w:trPr>
          <w:trHeight w:hRule="exact" w:val="397"/>
          <w:jc w:val="center"/>
        </w:trPr>
        <w:tc>
          <w:tcPr>
            <w:tcW w:w="2692" w:type="dxa"/>
            <w:vAlign w:val="center"/>
          </w:tcPr>
          <w:p w:rsidR="00B60AFD" w:rsidRPr="005B2FBB" w:rsidRDefault="00B60AFD" w:rsidP="00B60AFD">
            <w:pPr>
              <w:tabs>
                <w:tab w:val="left" w:pos="-2835"/>
              </w:tabs>
              <w:ind w:left="-15"/>
              <w:jc w:val="center"/>
              <w:rPr>
                <w:rFonts w:cs="Arial"/>
              </w:rPr>
            </w:pPr>
            <w:r w:rsidRPr="005B2FBB">
              <w:rPr>
                <w:rFonts w:cs="Arial"/>
              </w:rPr>
              <w:t>DEL</w:t>
            </w:r>
          </w:p>
        </w:tc>
        <w:tc>
          <w:tcPr>
            <w:tcW w:w="3686" w:type="dxa"/>
            <w:vAlign w:val="center"/>
          </w:tcPr>
          <w:p w:rsidR="00B60AFD" w:rsidRPr="00732A76" w:rsidRDefault="00B60AFD" w:rsidP="00B60AFD">
            <w:pPr>
              <w:tabs>
                <w:tab w:val="left" w:pos="-2835"/>
              </w:tabs>
              <w:jc w:val="center"/>
              <w:rPr>
                <w:rFonts w:cs="Arial"/>
              </w:rPr>
            </w:pPr>
            <w:r w:rsidRPr="00732A76">
              <w:rPr>
                <w:rFonts w:cs="Arial"/>
              </w:rPr>
              <w:t xml:space="preserve">Deleted </w:t>
            </w:r>
          </w:p>
        </w:tc>
      </w:tr>
    </w:tbl>
    <w:p w:rsidR="00B60AFD" w:rsidRDefault="00B60AFD" w:rsidP="00B60AFD">
      <w:pPr>
        <w:pStyle w:val="Bullets2"/>
        <w:numPr>
          <w:ilvl w:val="0"/>
          <w:numId w:val="0"/>
        </w:numPr>
        <w:spacing w:after="120"/>
        <w:rPr>
          <w:rFonts w:cs="Arial"/>
        </w:rPr>
      </w:pPr>
    </w:p>
    <w:p w:rsidR="004E6E94" w:rsidRPr="00B60AFD" w:rsidRDefault="00F65C64" w:rsidP="004E6E94">
      <w:pPr>
        <w:pStyle w:val="Heading3"/>
      </w:pPr>
      <w:bookmarkStart w:id="184" w:name="_Response_Codes_&amp;"/>
      <w:bookmarkStart w:id="185" w:name="_Toc396989152"/>
      <w:bookmarkEnd w:id="184"/>
      <w:r>
        <w:t>Response Codes &amp; Description</w:t>
      </w:r>
      <w:bookmarkEnd w:id="185"/>
    </w:p>
    <w:p w:rsidR="004E6E94" w:rsidRDefault="004E6E94" w:rsidP="004E6E94">
      <w:pPr>
        <w:rPr>
          <w:rFonts w:cs="Arial"/>
        </w:rPr>
      </w:pPr>
      <w:r w:rsidRPr="00D64309">
        <w:rPr>
          <w:rFonts w:cs="Arial"/>
        </w:rPr>
        <w:t>The responses available in ECF</w:t>
      </w:r>
      <w:r>
        <w:rPr>
          <w:rFonts w:cs="Arial"/>
        </w:rPr>
        <w:t xml:space="preserve"> </w:t>
      </w:r>
      <w:r w:rsidRPr="00D64309">
        <w:rPr>
          <w:rFonts w:cs="Arial"/>
        </w:rPr>
        <w:t xml:space="preserve">(and corresponding broker equivalent) </w:t>
      </w:r>
      <w:r>
        <w:rPr>
          <w:rFonts w:cs="Arial"/>
        </w:rPr>
        <w:t>a</w:t>
      </w:r>
      <w:r w:rsidRPr="00D64309">
        <w:rPr>
          <w:rFonts w:cs="Arial"/>
        </w:rPr>
        <w:t>re detailed below. They are context sensitive and are displayed conditionally:</w:t>
      </w:r>
    </w:p>
    <w:tbl>
      <w:tblPr>
        <w:tblW w:w="0" w:type="auto"/>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3356"/>
        <w:gridCol w:w="2483"/>
      </w:tblGrid>
      <w:tr w:rsidR="004E6E94" w:rsidRPr="00D64309" w:rsidTr="00D72FD0">
        <w:trPr>
          <w:trHeight w:hRule="exact" w:val="418"/>
          <w:jc w:val="center"/>
        </w:trPr>
        <w:tc>
          <w:tcPr>
            <w:tcW w:w="2222" w:type="dxa"/>
            <w:shd w:val="clear" w:color="auto" w:fill="C0C0C0"/>
            <w:vAlign w:val="center"/>
          </w:tcPr>
          <w:p w:rsidR="004E6E94" w:rsidRPr="00D64309" w:rsidRDefault="004E6E94" w:rsidP="00D72FD0">
            <w:pPr>
              <w:tabs>
                <w:tab w:val="left" w:pos="-2835"/>
              </w:tabs>
              <w:ind w:left="-15"/>
              <w:jc w:val="center"/>
              <w:rPr>
                <w:rFonts w:cs="Arial"/>
                <w:b/>
              </w:rPr>
            </w:pPr>
            <w:r w:rsidRPr="00D64309">
              <w:rPr>
                <w:rFonts w:cs="Arial"/>
                <w:b/>
              </w:rPr>
              <w:t>Response Code</w:t>
            </w:r>
          </w:p>
        </w:tc>
        <w:tc>
          <w:tcPr>
            <w:tcW w:w="3356" w:type="dxa"/>
            <w:shd w:val="clear" w:color="auto" w:fill="C0C0C0"/>
            <w:vAlign w:val="center"/>
          </w:tcPr>
          <w:p w:rsidR="004E6E94" w:rsidRPr="00D64309" w:rsidRDefault="004E6E94" w:rsidP="00D72FD0">
            <w:pPr>
              <w:tabs>
                <w:tab w:val="left" w:pos="-2835"/>
              </w:tabs>
              <w:jc w:val="center"/>
              <w:rPr>
                <w:rFonts w:cs="Arial"/>
                <w:b/>
              </w:rPr>
            </w:pPr>
            <w:r w:rsidRPr="00D64309">
              <w:rPr>
                <w:rFonts w:cs="Arial"/>
                <w:b/>
              </w:rPr>
              <w:t>Description</w:t>
            </w:r>
          </w:p>
        </w:tc>
        <w:tc>
          <w:tcPr>
            <w:tcW w:w="2483" w:type="dxa"/>
            <w:shd w:val="clear" w:color="auto" w:fill="C0C0C0"/>
          </w:tcPr>
          <w:p w:rsidR="004E6E94" w:rsidRPr="00D64309" w:rsidRDefault="004E6E94" w:rsidP="00D72FD0">
            <w:pPr>
              <w:tabs>
                <w:tab w:val="left" w:pos="-2835"/>
              </w:tabs>
              <w:ind w:left="-68"/>
              <w:jc w:val="center"/>
              <w:rPr>
                <w:rFonts w:cs="Arial"/>
                <w:b/>
              </w:rPr>
            </w:pPr>
            <w:r w:rsidRPr="00D64309">
              <w:rPr>
                <w:rFonts w:cs="Arial"/>
                <w:b/>
              </w:rPr>
              <w:t>Response received by broker</w:t>
            </w:r>
          </w:p>
        </w:tc>
      </w:tr>
      <w:tr w:rsidR="004E6E94" w:rsidRPr="00D64309" w:rsidTr="00D72FD0">
        <w:trPr>
          <w:trHeight w:hRule="exact" w:val="364"/>
          <w:jc w:val="center"/>
        </w:trPr>
        <w:tc>
          <w:tcPr>
            <w:tcW w:w="2222" w:type="dxa"/>
            <w:vAlign w:val="center"/>
          </w:tcPr>
          <w:p w:rsidR="004E6E94" w:rsidRPr="00D64309" w:rsidRDefault="004E6E94" w:rsidP="00D72FD0">
            <w:pPr>
              <w:tabs>
                <w:tab w:val="left" w:pos="-2835"/>
              </w:tabs>
              <w:ind w:left="-15"/>
              <w:jc w:val="center"/>
              <w:rPr>
                <w:rFonts w:cs="Arial"/>
              </w:rPr>
            </w:pPr>
            <w:r w:rsidRPr="00D64309">
              <w:rPr>
                <w:rFonts w:cs="Arial"/>
              </w:rPr>
              <w:t>S/A</w:t>
            </w:r>
          </w:p>
        </w:tc>
        <w:tc>
          <w:tcPr>
            <w:tcW w:w="3356" w:type="dxa"/>
            <w:vAlign w:val="center"/>
          </w:tcPr>
          <w:p w:rsidR="004E6E94" w:rsidRPr="00D64309" w:rsidRDefault="004E6E94" w:rsidP="00D72FD0">
            <w:pPr>
              <w:tabs>
                <w:tab w:val="left" w:pos="-2835"/>
              </w:tabs>
              <w:jc w:val="center"/>
              <w:rPr>
                <w:rFonts w:cs="Arial"/>
              </w:rPr>
            </w:pPr>
            <w:r w:rsidRPr="00D64309">
              <w:rPr>
                <w:rFonts w:cs="Arial"/>
              </w:rPr>
              <w:t>Seen/Action</w:t>
            </w:r>
          </w:p>
        </w:tc>
        <w:tc>
          <w:tcPr>
            <w:tcW w:w="2483" w:type="dxa"/>
          </w:tcPr>
          <w:p w:rsidR="004E6E94" w:rsidRPr="00D64309" w:rsidRDefault="004E6E94" w:rsidP="00D72FD0">
            <w:pPr>
              <w:tabs>
                <w:tab w:val="left" w:pos="-2835"/>
              </w:tabs>
              <w:ind w:left="-68"/>
              <w:jc w:val="center"/>
              <w:rPr>
                <w:rFonts w:cs="Arial"/>
              </w:rPr>
            </w:pPr>
            <w:r w:rsidRPr="00D64309">
              <w:rPr>
                <w:rFonts w:cs="Arial"/>
              </w:rPr>
              <w:t>AUT</w:t>
            </w:r>
          </w:p>
        </w:tc>
      </w:tr>
      <w:tr w:rsidR="004E6E94" w:rsidRPr="00D64309" w:rsidTr="00D72FD0">
        <w:trPr>
          <w:trHeight w:hRule="exact" w:val="364"/>
          <w:jc w:val="center"/>
        </w:trPr>
        <w:tc>
          <w:tcPr>
            <w:tcW w:w="2222" w:type="dxa"/>
            <w:vAlign w:val="center"/>
          </w:tcPr>
          <w:p w:rsidR="004E6E94" w:rsidRPr="00D64309" w:rsidRDefault="004E6E94" w:rsidP="00D72FD0">
            <w:pPr>
              <w:tabs>
                <w:tab w:val="left" w:pos="-2835"/>
              </w:tabs>
              <w:ind w:left="-15"/>
              <w:jc w:val="center"/>
              <w:rPr>
                <w:rFonts w:cs="Arial"/>
              </w:rPr>
            </w:pPr>
            <w:r w:rsidRPr="00D64309">
              <w:rPr>
                <w:rFonts w:cs="Arial"/>
              </w:rPr>
              <w:t>PAY</w:t>
            </w:r>
          </w:p>
        </w:tc>
        <w:tc>
          <w:tcPr>
            <w:tcW w:w="3356" w:type="dxa"/>
            <w:vAlign w:val="center"/>
          </w:tcPr>
          <w:p w:rsidR="004E6E94" w:rsidRPr="00D64309" w:rsidRDefault="004E6E94" w:rsidP="00D72FD0">
            <w:pPr>
              <w:tabs>
                <w:tab w:val="left" w:pos="-2835"/>
              </w:tabs>
              <w:jc w:val="center"/>
              <w:rPr>
                <w:rFonts w:cs="Arial"/>
              </w:rPr>
            </w:pPr>
            <w:r w:rsidRPr="00D64309">
              <w:rPr>
                <w:rFonts w:cs="Arial"/>
              </w:rPr>
              <w:t>Agree Pay</w:t>
            </w:r>
          </w:p>
        </w:tc>
        <w:tc>
          <w:tcPr>
            <w:tcW w:w="2483" w:type="dxa"/>
          </w:tcPr>
          <w:p w:rsidR="004E6E94" w:rsidRPr="00D64309" w:rsidRDefault="004E6E94" w:rsidP="00D72FD0">
            <w:pPr>
              <w:tabs>
                <w:tab w:val="left" w:pos="-2835"/>
              </w:tabs>
              <w:ind w:left="-68"/>
              <w:jc w:val="center"/>
              <w:rPr>
                <w:rFonts w:cs="Arial"/>
              </w:rPr>
            </w:pPr>
            <w:r w:rsidRPr="00D64309">
              <w:rPr>
                <w:rFonts w:cs="Arial"/>
              </w:rPr>
              <w:t>AUT</w:t>
            </w:r>
          </w:p>
        </w:tc>
      </w:tr>
      <w:tr w:rsidR="004E6E94" w:rsidRPr="00D64309" w:rsidTr="00D72FD0">
        <w:trPr>
          <w:trHeight w:hRule="exact" w:val="364"/>
          <w:jc w:val="center"/>
        </w:trPr>
        <w:tc>
          <w:tcPr>
            <w:tcW w:w="2222" w:type="dxa"/>
            <w:vAlign w:val="center"/>
          </w:tcPr>
          <w:p w:rsidR="004E6E94" w:rsidRPr="00D64309" w:rsidRDefault="004E6E94" w:rsidP="00D72FD0">
            <w:pPr>
              <w:tabs>
                <w:tab w:val="left" w:pos="-2835"/>
              </w:tabs>
              <w:ind w:left="-15"/>
              <w:jc w:val="center"/>
              <w:rPr>
                <w:rFonts w:cs="Arial"/>
              </w:rPr>
            </w:pPr>
            <w:r w:rsidRPr="00D64309">
              <w:rPr>
                <w:rFonts w:cs="Arial"/>
              </w:rPr>
              <w:t>QUE</w:t>
            </w:r>
          </w:p>
        </w:tc>
        <w:tc>
          <w:tcPr>
            <w:tcW w:w="3356" w:type="dxa"/>
            <w:vAlign w:val="center"/>
          </w:tcPr>
          <w:p w:rsidR="004E6E94" w:rsidRPr="00D64309" w:rsidRDefault="004E6E94" w:rsidP="00D72FD0">
            <w:pPr>
              <w:tabs>
                <w:tab w:val="left" w:pos="-2835"/>
              </w:tabs>
              <w:jc w:val="center"/>
              <w:rPr>
                <w:rFonts w:cs="Arial"/>
              </w:rPr>
            </w:pPr>
            <w:r w:rsidRPr="00D64309">
              <w:rPr>
                <w:rFonts w:cs="Arial"/>
              </w:rPr>
              <w:t>Query/Return</w:t>
            </w:r>
          </w:p>
        </w:tc>
        <w:tc>
          <w:tcPr>
            <w:tcW w:w="2483" w:type="dxa"/>
          </w:tcPr>
          <w:p w:rsidR="004E6E94" w:rsidRPr="00D64309" w:rsidRDefault="004E6E94" w:rsidP="00D72FD0">
            <w:pPr>
              <w:tabs>
                <w:tab w:val="left" w:pos="-2835"/>
              </w:tabs>
              <w:ind w:left="-68"/>
              <w:jc w:val="center"/>
              <w:rPr>
                <w:rFonts w:cs="Arial"/>
              </w:rPr>
            </w:pPr>
            <w:r w:rsidRPr="00D64309">
              <w:rPr>
                <w:rFonts w:cs="Arial"/>
              </w:rPr>
              <w:t>QUE</w:t>
            </w:r>
          </w:p>
        </w:tc>
      </w:tr>
      <w:tr w:rsidR="004E6E94" w:rsidRPr="00D64309" w:rsidTr="00D72FD0">
        <w:trPr>
          <w:trHeight w:hRule="exact" w:val="364"/>
          <w:jc w:val="center"/>
        </w:trPr>
        <w:tc>
          <w:tcPr>
            <w:tcW w:w="2222" w:type="dxa"/>
            <w:vAlign w:val="center"/>
          </w:tcPr>
          <w:p w:rsidR="004E6E94" w:rsidRPr="00D64309" w:rsidRDefault="004E6E94" w:rsidP="00D72FD0">
            <w:pPr>
              <w:tabs>
                <w:tab w:val="left" w:pos="-2835"/>
              </w:tabs>
              <w:ind w:left="-15"/>
              <w:jc w:val="center"/>
              <w:rPr>
                <w:rFonts w:cs="Arial"/>
              </w:rPr>
            </w:pPr>
            <w:r w:rsidRPr="00D64309">
              <w:rPr>
                <w:rFonts w:cs="Arial"/>
              </w:rPr>
              <w:t>NAK</w:t>
            </w:r>
          </w:p>
        </w:tc>
        <w:tc>
          <w:tcPr>
            <w:tcW w:w="3356" w:type="dxa"/>
            <w:vAlign w:val="center"/>
          </w:tcPr>
          <w:p w:rsidR="004E6E94" w:rsidRPr="00D64309" w:rsidRDefault="004E6E94" w:rsidP="00D72FD0">
            <w:pPr>
              <w:tabs>
                <w:tab w:val="left" w:pos="-2835"/>
              </w:tabs>
              <w:jc w:val="center"/>
              <w:rPr>
                <w:rFonts w:cs="Arial"/>
              </w:rPr>
            </w:pPr>
            <w:r w:rsidRPr="00D64309">
              <w:rPr>
                <w:rFonts w:cs="Arial"/>
              </w:rPr>
              <w:t>No Response</w:t>
            </w:r>
          </w:p>
        </w:tc>
        <w:tc>
          <w:tcPr>
            <w:tcW w:w="2483" w:type="dxa"/>
          </w:tcPr>
          <w:p w:rsidR="004E6E94" w:rsidRPr="00D64309" w:rsidRDefault="004E6E94" w:rsidP="00D72FD0">
            <w:pPr>
              <w:tabs>
                <w:tab w:val="left" w:pos="-2835"/>
              </w:tabs>
              <w:ind w:left="-68"/>
              <w:jc w:val="center"/>
              <w:rPr>
                <w:rFonts w:cs="Arial"/>
              </w:rPr>
            </w:pPr>
            <w:r w:rsidRPr="00D64309">
              <w:rPr>
                <w:rFonts w:cs="Arial"/>
              </w:rPr>
              <w:t>-</w:t>
            </w:r>
          </w:p>
        </w:tc>
      </w:tr>
      <w:tr w:rsidR="00B60AFD" w:rsidRPr="00D64309" w:rsidTr="00D72FD0">
        <w:trPr>
          <w:trHeight w:hRule="exact" w:val="364"/>
          <w:jc w:val="center"/>
        </w:trPr>
        <w:tc>
          <w:tcPr>
            <w:tcW w:w="2222" w:type="dxa"/>
            <w:vAlign w:val="center"/>
          </w:tcPr>
          <w:p w:rsidR="00B60AFD" w:rsidRPr="00D53B87" w:rsidRDefault="00E65CFC" w:rsidP="00D72FD0">
            <w:pPr>
              <w:tabs>
                <w:tab w:val="left" w:pos="-2835"/>
              </w:tabs>
              <w:ind w:left="-15"/>
              <w:jc w:val="center"/>
              <w:rPr>
                <w:rFonts w:cs="Arial"/>
              </w:rPr>
            </w:pPr>
            <w:r w:rsidRPr="00D53B87">
              <w:rPr>
                <w:rFonts w:cs="Arial"/>
              </w:rPr>
              <w:t>Not Applicabl</w:t>
            </w:r>
            <w:r w:rsidR="00D53B87">
              <w:rPr>
                <w:rFonts w:cs="Arial"/>
              </w:rPr>
              <w:t>e</w:t>
            </w:r>
          </w:p>
        </w:tc>
        <w:tc>
          <w:tcPr>
            <w:tcW w:w="3356" w:type="dxa"/>
            <w:vAlign w:val="center"/>
          </w:tcPr>
          <w:p w:rsidR="00B60AFD" w:rsidRPr="00D53B87" w:rsidRDefault="00B60AFD" w:rsidP="00D72FD0">
            <w:pPr>
              <w:tabs>
                <w:tab w:val="left" w:pos="-2835"/>
              </w:tabs>
              <w:jc w:val="center"/>
              <w:rPr>
                <w:rFonts w:cs="Arial"/>
              </w:rPr>
            </w:pPr>
            <w:r w:rsidRPr="00D53B87">
              <w:rPr>
                <w:rFonts w:cs="Arial"/>
              </w:rPr>
              <w:t>Service Action (VCS)</w:t>
            </w:r>
          </w:p>
        </w:tc>
        <w:tc>
          <w:tcPr>
            <w:tcW w:w="2483" w:type="dxa"/>
          </w:tcPr>
          <w:p w:rsidR="00B60AFD" w:rsidRPr="00D53B87" w:rsidRDefault="00B60AFD" w:rsidP="00D72FD0">
            <w:pPr>
              <w:tabs>
                <w:tab w:val="left" w:pos="-2835"/>
              </w:tabs>
              <w:ind w:left="-68"/>
              <w:jc w:val="center"/>
              <w:rPr>
                <w:rFonts w:cs="Arial"/>
              </w:rPr>
            </w:pPr>
            <w:r w:rsidRPr="00D53B87">
              <w:rPr>
                <w:rFonts w:cs="Arial"/>
              </w:rPr>
              <w:t>-</w:t>
            </w:r>
          </w:p>
        </w:tc>
      </w:tr>
    </w:tbl>
    <w:p w:rsidR="00F67092" w:rsidRDefault="00F67092" w:rsidP="00C14056">
      <w:pPr>
        <w:spacing w:after="120"/>
        <w:rPr>
          <w:rFonts w:cs="Arial"/>
        </w:rPr>
      </w:pPr>
    </w:p>
    <w:p w:rsidR="004E6E94" w:rsidRDefault="00B60AFD" w:rsidP="00C14056">
      <w:pPr>
        <w:spacing w:after="120"/>
        <w:rPr>
          <w:rFonts w:cs="Arial"/>
        </w:rPr>
      </w:pPr>
      <w:r>
        <w:rPr>
          <w:rFonts w:cs="Arial"/>
        </w:rPr>
        <w:t>A</w:t>
      </w:r>
      <w:r w:rsidR="004E6E94" w:rsidRPr="00DE4AB8">
        <w:rPr>
          <w:rFonts w:cs="Arial"/>
        </w:rPr>
        <w:t>ll responses must comprise comments in the Public Comments field in addition to the selection of a response button.</w:t>
      </w:r>
    </w:p>
    <w:p w:rsidR="004E6E94" w:rsidRPr="00D64309" w:rsidRDefault="004E6E94" w:rsidP="004E6E94">
      <w:pPr>
        <w:pStyle w:val="Bullets"/>
        <w:spacing w:after="120"/>
        <w:rPr>
          <w:rFonts w:cs="Arial"/>
        </w:rPr>
      </w:pPr>
      <w:r w:rsidRPr="00D64309">
        <w:rPr>
          <w:rFonts w:cs="Arial"/>
          <w:b/>
        </w:rPr>
        <w:t>Seen/Action</w:t>
      </w:r>
      <w:r w:rsidRPr="00D64309">
        <w:rPr>
          <w:rFonts w:cs="Arial"/>
        </w:rPr>
        <w:t xml:space="preserve"> – This button is only displayed when an advice does not contain any request for collection and payment.  By selecting this option, the Agreement Party confirms receipt of the advice and, if any action is proposed, the party has noted in comments those action(s) it does and does not authorize.  The advice will thereafter be sent to the next Agreement Party and, if all Agreement Parties respond in this way, an SCM will be produced.</w:t>
      </w:r>
    </w:p>
    <w:p w:rsidR="004E6E94" w:rsidRDefault="004E6E94" w:rsidP="004E6E94">
      <w:pPr>
        <w:pStyle w:val="Bullets"/>
        <w:spacing w:after="120"/>
        <w:rPr>
          <w:rFonts w:cs="Arial"/>
        </w:rPr>
      </w:pPr>
      <w:r w:rsidRPr="00D64309">
        <w:rPr>
          <w:rFonts w:cs="Arial"/>
          <w:b/>
        </w:rPr>
        <w:t>Agree Pay</w:t>
      </w:r>
      <w:r w:rsidRPr="00D64309">
        <w:rPr>
          <w:rFonts w:cs="Arial"/>
        </w:rPr>
        <w:t xml:space="preserve"> – This button is only displayed when an advice, by itself or with other proposed action(s), seeks a collection and payment to be authorized.  By selecting this option, the Agreement Party confirms receipt and agreement to pay.  If the advice includes other proposed action(s), the party must also address in comments the other action(s) it does and does not authorize.  The advice will thereafter be sent to the next Agreement Party and, if all Agreement Parties respond in this way, an SCM will be produced.</w:t>
      </w:r>
    </w:p>
    <w:p w:rsidR="004E6E94" w:rsidRDefault="004E6E94" w:rsidP="004E6E94">
      <w:pPr>
        <w:pStyle w:val="Bullets"/>
        <w:spacing w:after="120"/>
        <w:rPr>
          <w:rFonts w:cs="Arial"/>
        </w:rPr>
      </w:pPr>
      <w:r w:rsidRPr="00D64309">
        <w:rPr>
          <w:rFonts w:cs="Arial"/>
          <w:b/>
        </w:rPr>
        <w:t>Query/Return</w:t>
      </w:r>
      <w:r w:rsidRPr="00D64309">
        <w:rPr>
          <w:rFonts w:cs="Arial"/>
        </w:rPr>
        <w:t xml:space="preserve"> – This button is displayed for all advices.  By selecting this option, the Agreement Party is not accepting the advice and returning it to the broker for the reason(s) stated in comments.  The reason(s) may include, for example, error in presentation, need for clarification or more information, or any defect in the method or manner of submission.  The advice will be sent at that time to the next Agreement Party, however that next Agreement Party </w:t>
      </w:r>
      <w:r w:rsidRPr="00D64309">
        <w:rPr>
          <w:rFonts w:cs="Arial"/>
          <w:b/>
        </w:rPr>
        <w:t>must</w:t>
      </w:r>
      <w:r w:rsidRPr="00D64309">
        <w:rPr>
          <w:rFonts w:cs="Arial"/>
        </w:rPr>
        <w:t xml:space="preserve"> only discuss with the previous Agreement Party (which may result in the previous Agreement Party altering their response) or enter a Query/Return response. Subsequent Agreement Parties will also receive a notification of Queried transactions as per section</w:t>
      </w:r>
      <w:r w:rsidR="00633DEB">
        <w:rPr>
          <w:b/>
          <w:bCs/>
          <w:lang w:val="en-US"/>
        </w:rPr>
        <w:t>.</w:t>
      </w:r>
    </w:p>
    <w:p w:rsidR="004E6E94" w:rsidRPr="005E4E45" w:rsidRDefault="004E6E94" w:rsidP="00633DEB">
      <w:pPr>
        <w:pStyle w:val="Bullets"/>
        <w:spacing w:after="120"/>
        <w:rPr>
          <w:rFonts w:cs="Arial"/>
        </w:rPr>
      </w:pPr>
      <w:r w:rsidRPr="005E4E45">
        <w:rPr>
          <w:rFonts w:cs="Arial"/>
          <w:b/>
        </w:rPr>
        <w:lastRenderedPageBreak/>
        <w:t xml:space="preserve">Service/Action </w:t>
      </w:r>
      <w:r w:rsidRPr="005E4E45">
        <w:rPr>
          <w:rFonts w:cs="Arial"/>
        </w:rPr>
        <w:t>– This button displays for all</w:t>
      </w:r>
      <w:r w:rsidR="00D53B87">
        <w:rPr>
          <w:rFonts w:cs="Arial"/>
        </w:rPr>
        <w:t xml:space="preserve"> </w:t>
      </w:r>
      <w:r w:rsidR="00E65CFC" w:rsidRPr="00D53B87">
        <w:rPr>
          <w:rFonts w:cs="Arial"/>
        </w:rPr>
        <w:t>transactions</w:t>
      </w:r>
      <w:r w:rsidR="00D53B87">
        <w:rPr>
          <w:rFonts w:cs="Arial"/>
        </w:rPr>
        <w:t>.</w:t>
      </w:r>
      <w:r w:rsidRPr="005E4E45">
        <w:rPr>
          <w:rFonts w:cs="Arial"/>
        </w:rPr>
        <w:t xml:space="preserve"> This option must only be selected by (a) MAs who have entered into a contractual agreement with a VCS service provider The triage values and their impacts on the claim routing are described below:</w:t>
      </w:r>
    </w:p>
    <w:p w:rsidR="004E6E94" w:rsidRPr="005E4E45" w:rsidRDefault="004E6E94" w:rsidP="00633DEB">
      <w:pPr>
        <w:pStyle w:val="Bullets"/>
        <w:numPr>
          <w:ilvl w:val="0"/>
          <w:numId w:val="113"/>
        </w:numPr>
        <w:ind w:left="850" w:hanging="425"/>
        <w:rPr>
          <w:rFonts w:cs="Arial"/>
        </w:rPr>
      </w:pPr>
      <w:r w:rsidRPr="005E4E45">
        <w:rPr>
          <w:rFonts w:cs="Arial"/>
          <w:b/>
        </w:rPr>
        <w:t xml:space="preserve">VCS Crawford: </w:t>
      </w:r>
      <w:r w:rsidRPr="005E4E45">
        <w:rPr>
          <w:rFonts w:cs="Arial"/>
        </w:rPr>
        <w:t>This will route a</w:t>
      </w:r>
      <w:r w:rsidRPr="005E4E45">
        <w:rPr>
          <w:rFonts w:cs="Arial"/>
          <w:b/>
        </w:rPr>
        <w:t xml:space="preserve"> </w:t>
      </w:r>
      <w:r w:rsidRPr="005E4E45">
        <w:rPr>
          <w:rFonts w:cs="Arial"/>
        </w:rPr>
        <w:t>claim</w:t>
      </w:r>
      <w:r w:rsidRPr="005E4E45">
        <w:rPr>
          <w:rFonts w:cs="Arial"/>
          <w:b/>
        </w:rPr>
        <w:t xml:space="preserve"> </w:t>
      </w:r>
      <w:r w:rsidRPr="005E4E45">
        <w:rPr>
          <w:rFonts w:cs="Arial"/>
        </w:rPr>
        <w:t>to Crawford.</w:t>
      </w:r>
    </w:p>
    <w:p w:rsidR="004E6E94" w:rsidRPr="005E4E45" w:rsidRDefault="004E6E94" w:rsidP="00633DEB">
      <w:pPr>
        <w:pStyle w:val="Bullets"/>
        <w:numPr>
          <w:ilvl w:val="0"/>
          <w:numId w:val="113"/>
        </w:numPr>
        <w:ind w:left="850" w:hanging="425"/>
        <w:rPr>
          <w:rFonts w:cs="Arial"/>
        </w:rPr>
      </w:pPr>
      <w:r w:rsidRPr="005E4E45">
        <w:rPr>
          <w:rFonts w:cs="Arial"/>
          <w:b/>
        </w:rPr>
        <w:t xml:space="preserve">VCS XCS: </w:t>
      </w:r>
      <w:r w:rsidRPr="005E4E45">
        <w:rPr>
          <w:rFonts w:cs="Arial"/>
        </w:rPr>
        <w:t>This will</w:t>
      </w:r>
      <w:r w:rsidRPr="005E4E45">
        <w:rPr>
          <w:rFonts w:cs="Arial"/>
          <w:b/>
        </w:rPr>
        <w:t xml:space="preserve"> </w:t>
      </w:r>
      <w:r w:rsidRPr="005E4E45">
        <w:rPr>
          <w:rFonts w:cs="Arial"/>
        </w:rPr>
        <w:t>route the claim to XCS.</w:t>
      </w:r>
    </w:p>
    <w:p w:rsidR="004E6E94" w:rsidRDefault="004E6E94" w:rsidP="00633DEB">
      <w:pPr>
        <w:pStyle w:val="Bullets"/>
        <w:numPr>
          <w:ilvl w:val="0"/>
          <w:numId w:val="113"/>
        </w:numPr>
        <w:ind w:left="850" w:hanging="425"/>
        <w:rPr>
          <w:rFonts w:cs="Arial"/>
        </w:rPr>
      </w:pPr>
      <w:r w:rsidRPr="005E4E45">
        <w:rPr>
          <w:rFonts w:cs="Arial"/>
          <w:b/>
        </w:rPr>
        <w:t xml:space="preserve">Blank: </w:t>
      </w:r>
      <w:r w:rsidRPr="005E4E45">
        <w:rPr>
          <w:rFonts w:cs="Arial"/>
        </w:rPr>
        <w:t>This</w:t>
      </w:r>
      <w:r w:rsidRPr="005E4E45">
        <w:rPr>
          <w:rFonts w:cs="Arial"/>
          <w:b/>
        </w:rPr>
        <w:t xml:space="preserve"> </w:t>
      </w:r>
      <w:r w:rsidRPr="005E4E45">
        <w:rPr>
          <w:rFonts w:cs="Arial"/>
        </w:rPr>
        <w:t>will route a claim back to the service provider (only if a claim has previously been triaged into VCS).</w:t>
      </w:r>
    </w:p>
    <w:p w:rsidR="00D15101" w:rsidRPr="005E4E45" w:rsidRDefault="00D15101" w:rsidP="00D15101">
      <w:pPr>
        <w:pStyle w:val="Bullets"/>
        <w:numPr>
          <w:ilvl w:val="0"/>
          <w:numId w:val="0"/>
        </w:numPr>
        <w:ind w:left="850"/>
        <w:rPr>
          <w:rFonts w:cs="Arial"/>
        </w:rPr>
      </w:pPr>
    </w:p>
    <w:p w:rsidR="00870302" w:rsidRPr="00C14056" w:rsidRDefault="00530CF8" w:rsidP="00530CF8">
      <w:pPr>
        <w:pStyle w:val="Heading2"/>
      </w:pPr>
      <w:bookmarkStart w:id="186" w:name="_Delegation_of_claim"/>
      <w:bookmarkStart w:id="187" w:name="_Toc389214826"/>
      <w:bookmarkStart w:id="188" w:name="_Toc396989153"/>
      <w:bookmarkEnd w:id="186"/>
      <w:r>
        <w:t>Delegation of claim / role</w:t>
      </w:r>
      <w:bookmarkEnd w:id="187"/>
      <w:bookmarkEnd w:id="188"/>
    </w:p>
    <w:p w:rsidR="00870302" w:rsidRPr="00D53B87" w:rsidRDefault="005E4E45" w:rsidP="00870302">
      <w:pPr>
        <w:rPr>
          <w:rFonts w:cs="Arial"/>
        </w:rPr>
      </w:pPr>
      <w:r w:rsidRPr="00D53B87">
        <w:rPr>
          <w:rFonts w:cs="Arial"/>
        </w:rPr>
        <w:t xml:space="preserve">A number of </w:t>
      </w:r>
      <w:r w:rsidR="00870302" w:rsidRPr="00E65CFC">
        <w:rPr>
          <w:rFonts w:cs="Arial"/>
        </w:rPr>
        <w:t xml:space="preserve">processes exist for the delegation of claims </w:t>
      </w:r>
      <w:r w:rsidRPr="00D53B87">
        <w:rPr>
          <w:rFonts w:cs="Arial"/>
        </w:rPr>
        <w:t>catering</w:t>
      </w:r>
      <w:r w:rsidR="00870302" w:rsidRPr="00E65CFC">
        <w:rPr>
          <w:rFonts w:cs="Arial"/>
        </w:rPr>
        <w:t xml:space="preserve"> for</w:t>
      </w:r>
      <w:r w:rsidRPr="00D53B87">
        <w:rPr>
          <w:rFonts w:cs="Arial"/>
        </w:rPr>
        <w:t>:</w:t>
      </w:r>
      <w:r w:rsidR="00870302" w:rsidRPr="00E65CFC">
        <w:rPr>
          <w:rFonts w:cs="Arial"/>
        </w:rPr>
        <w:t xml:space="preserve"> </w:t>
      </w:r>
      <w:r w:rsidRPr="00D53B87">
        <w:rPr>
          <w:rFonts w:cs="Arial"/>
        </w:rPr>
        <w:t>T</w:t>
      </w:r>
      <w:r w:rsidR="00870302" w:rsidRPr="00E65CFC">
        <w:rPr>
          <w:rFonts w:cs="Arial"/>
        </w:rPr>
        <w:t xml:space="preserve">he delegation of </w:t>
      </w:r>
      <w:r w:rsidRPr="00D53B87">
        <w:rPr>
          <w:rFonts w:cs="Arial"/>
        </w:rPr>
        <w:t>all</w:t>
      </w:r>
      <w:r w:rsidR="00870302" w:rsidRPr="00E65CFC">
        <w:rPr>
          <w:rFonts w:cs="Arial"/>
        </w:rPr>
        <w:t xml:space="preserve"> claims </w:t>
      </w:r>
      <w:r w:rsidRPr="00D53B87">
        <w:rPr>
          <w:rFonts w:cs="Arial"/>
        </w:rPr>
        <w:t>and</w:t>
      </w:r>
      <w:r w:rsidR="00870302" w:rsidRPr="00E65CFC">
        <w:rPr>
          <w:rFonts w:cs="Arial"/>
        </w:rPr>
        <w:t xml:space="preserve"> the delegation of only certain claims</w:t>
      </w:r>
      <w:r w:rsidRPr="00D53B87">
        <w:rPr>
          <w:rFonts w:cs="Arial"/>
        </w:rPr>
        <w:t>. This delegation can be arranged with 3</w:t>
      </w:r>
      <w:r w:rsidRPr="00D53B87">
        <w:rPr>
          <w:rFonts w:cs="Arial"/>
          <w:vertAlign w:val="superscript"/>
        </w:rPr>
        <w:t>rd</w:t>
      </w:r>
      <w:r w:rsidRPr="00D53B87">
        <w:rPr>
          <w:rFonts w:cs="Arial"/>
        </w:rPr>
        <w:t xml:space="preserve"> parties and service providers as part of the volume claim service offered</w:t>
      </w:r>
      <w:r w:rsidR="00870302" w:rsidRPr="00E65CFC">
        <w:rPr>
          <w:rFonts w:cs="Arial"/>
        </w:rPr>
        <w:t xml:space="preserve"> </w:t>
      </w:r>
      <w:r w:rsidRPr="00D53B87">
        <w:rPr>
          <w:rFonts w:cs="Arial"/>
        </w:rPr>
        <w:t xml:space="preserve">or outside of this service by engaging </w:t>
      </w:r>
      <w:r w:rsidR="00D96576" w:rsidRPr="00D53B87">
        <w:rPr>
          <w:rFonts w:cs="Arial"/>
        </w:rPr>
        <w:t>with 3</w:t>
      </w:r>
      <w:r w:rsidR="00D96576" w:rsidRPr="00D53B87">
        <w:rPr>
          <w:rFonts w:cs="Arial"/>
          <w:vertAlign w:val="superscript"/>
        </w:rPr>
        <w:t>rd</w:t>
      </w:r>
      <w:r w:rsidR="00D96576" w:rsidRPr="00D53B87">
        <w:rPr>
          <w:rFonts w:cs="Arial"/>
        </w:rPr>
        <w:t xml:space="preserve"> parties and service providers </w:t>
      </w:r>
      <w:r w:rsidRPr="00D53B87">
        <w:rPr>
          <w:rFonts w:cs="Arial"/>
        </w:rPr>
        <w:t xml:space="preserve">on an organisational basis with relevant contracts in place. Further information on </w:t>
      </w:r>
      <w:r w:rsidR="00D96576" w:rsidRPr="00D53B87">
        <w:rPr>
          <w:rFonts w:cs="Arial"/>
        </w:rPr>
        <w:t>each delegation option is listed below</w:t>
      </w:r>
      <w:r w:rsidR="00633DEB">
        <w:rPr>
          <w:rFonts w:cs="Arial"/>
        </w:rPr>
        <w:t>.</w:t>
      </w:r>
    </w:p>
    <w:p w:rsidR="00870302" w:rsidRPr="00C14056" w:rsidRDefault="005E4E45" w:rsidP="00C14056">
      <w:pPr>
        <w:pStyle w:val="Heading3"/>
      </w:pPr>
      <w:bookmarkStart w:id="189" w:name="_Toc389214827"/>
      <w:bookmarkStart w:id="190" w:name="_Toc396989154"/>
      <w:r w:rsidRPr="00C14056">
        <w:t>Delegation of claims to a 3rd party</w:t>
      </w:r>
      <w:bookmarkEnd w:id="189"/>
      <w:bookmarkEnd w:id="190"/>
    </w:p>
    <w:p w:rsidR="005E4E45" w:rsidRPr="00D53B87" w:rsidRDefault="005E4E45" w:rsidP="00870302">
      <w:pPr>
        <w:rPr>
          <w:rFonts w:cs="Arial"/>
        </w:rPr>
      </w:pPr>
      <w:r w:rsidRPr="00D53B87">
        <w:rPr>
          <w:rFonts w:cs="Arial"/>
        </w:rPr>
        <w:t>The 3</w:t>
      </w:r>
      <w:r w:rsidRPr="00D53B87">
        <w:rPr>
          <w:rFonts w:cs="Arial"/>
          <w:vertAlign w:val="superscript"/>
        </w:rPr>
        <w:t>rd</w:t>
      </w:r>
      <w:r w:rsidRPr="00D53B87">
        <w:rPr>
          <w:rFonts w:cs="Arial"/>
        </w:rPr>
        <w:t xml:space="preserve"> party or service provider should be given</w:t>
      </w:r>
      <w:r w:rsidR="00870302" w:rsidRPr="00E65CFC">
        <w:rPr>
          <w:rFonts w:cs="Arial"/>
        </w:rPr>
        <w:t xml:space="preserve"> logon details</w:t>
      </w:r>
      <w:r w:rsidRPr="00D53B87">
        <w:rPr>
          <w:rFonts w:cs="Arial"/>
        </w:rPr>
        <w:t xml:space="preserve"> from the carrier enabling</w:t>
      </w:r>
      <w:r w:rsidR="00870302" w:rsidRPr="00E65CFC">
        <w:rPr>
          <w:rFonts w:cs="Arial"/>
        </w:rPr>
        <w:t xml:space="preserve"> access </w:t>
      </w:r>
      <w:r w:rsidRPr="00D53B87">
        <w:rPr>
          <w:rFonts w:cs="Arial"/>
        </w:rPr>
        <w:t>to ECF</w:t>
      </w:r>
      <w:r w:rsidR="00870302" w:rsidRPr="00E65CFC">
        <w:rPr>
          <w:rFonts w:cs="Arial"/>
        </w:rPr>
        <w:t xml:space="preserve">, </w:t>
      </w:r>
      <w:r w:rsidRPr="00D53B87">
        <w:rPr>
          <w:rFonts w:cs="Arial"/>
        </w:rPr>
        <w:t xml:space="preserve">performing an adjusting role as a carrier </w:t>
      </w:r>
      <w:r w:rsidR="00870302" w:rsidRPr="00D53B87">
        <w:rPr>
          <w:rFonts w:cs="Arial"/>
        </w:rPr>
        <w:t xml:space="preserve">for whom they are acting. This will give </w:t>
      </w:r>
      <w:r w:rsidRPr="00D53B87">
        <w:rPr>
          <w:rFonts w:cs="Arial"/>
        </w:rPr>
        <w:t>the 3</w:t>
      </w:r>
      <w:r w:rsidRPr="00D53B87">
        <w:rPr>
          <w:rFonts w:cs="Arial"/>
          <w:vertAlign w:val="superscript"/>
        </w:rPr>
        <w:t>rd</w:t>
      </w:r>
      <w:r w:rsidRPr="00D53B87">
        <w:rPr>
          <w:rFonts w:cs="Arial"/>
        </w:rPr>
        <w:t xml:space="preserve"> party / service provider</w:t>
      </w:r>
      <w:r w:rsidR="00870302" w:rsidRPr="00D53B87">
        <w:rPr>
          <w:rFonts w:cs="Arial"/>
        </w:rPr>
        <w:t xml:space="preserve"> access to claims for that </w:t>
      </w:r>
      <w:r w:rsidRPr="00D53B87">
        <w:rPr>
          <w:rFonts w:cs="Arial"/>
        </w:rPr>
        <w:t>carrier. The parties involved must ensure that they have in place internal procedures to provide workflow / triggers for the 3</w:t>
      </w:r>
      <w:r w:rsidRPr="00D53B87">
        <w:rPr>
          <w:rFonts w:cs="Arial"/>
          <w:vertAlign w:val="superscript"/>
        </w:rPr>
        <w:t>rd</w:t>
      </w:r>
      <w:r w:rsidRPr="00D53B87">
        <w:rPr>
          <w:rFonts w:cs="Arial"/>
        </w:rPr>
        <w:t xml:space="preserve"> party or service </w:t>
      </w:r>
      <w:r w:rsidR="00633DEB" w:rsidRPr="00D53B87">
        <w:rPr>
          <w:rFonts w:cs="Arial"/>
        </w:rPr>
        <w:t>provider’s</w:t>
      </w:r>
      <w:r w:rsidRPr="00D53B87">
        <w:rPr>
          <w:rFonts w:cs="Arial"/>
        </w:rPr>
        <w:t xml:space="preserve"> action and a monitoring process to ensure claims are being dealt with appropriately.</w:t>
      </w:r>
    </w:p>
    <w:p w:rsidR="00D96576" w:rsidRPr="00D53B87" w:rsidRDefault="00D96576" w:rsidP="00C14056">
      <w:pPr>
        <w:pStyle w:val="Heading3"/>
      </w:pPr>
      <w:bookmarkStart w:id="191" w:name="_Toc396989155"/>
      <w:r w:rsidRPr="00D53B87">
        <w:t>Volume Claim Service</w:t>
      </w:r>
      <w:bookmarkEnd w:id="191"/>
    </w:p>
    <w:p w:rsidR="00D96576" w:rsidRPr="00D53B87" w:rsidRDefault="00D96576" w:rsidP="00870302">
      <w:pPr>
        <w:rPr>
          <w:rFonts w:cs="Arial"/>
        </w:rPr>
      </w:pPr>
      <w:r w:rsidRPr="00D53B87">
        <w:rPr>
          <w:rFonts w:cs="Arial"/>
        </w:rPr>
        <w:t xml:space="preserve">The Volume Claims Service (VCS) is a delegated claims adjusting service for high volume low value claims which is </w:t>
      </w:r>
      <w:r w:rsidR="00E65CFC" w:rsidRPr="00D53B87">
        <w:rPr>
          <w:rFonts w:cs="Arial"/>
        </w:rPr>
        <w:t>currently</w:t>
      </w:r>
      <w:r w:rsidR="00D53B87">
        <w:rPr>
          <w:rFonts w:cs="Arial"/>
        </w:rPr>
        <w:t xml:space="preserve"> </w:t>
      </w:r>
      <w:r w:rsidRPr="00D53B87">
        <w:rPr>
          <w:rFonts w:cs="Arial"/>
        </w:rPr>
        <w:t>offered by two suppliers, Crawford &amp; Xchanging. The service action button displayed within ECF must only be selected by MAs who have entered into a contractual agreement with a VCS service provider AND wish for a VCS service provider to commence work on the referenced claim having validated that the parameters of the claim meet those specified in their contractual agreement. The button can also be used by a VCS Service provider when transferring ownership of the claim back to the MA and exiting the claim from VCS. This field must be used in conjunction with the triage category to ensure the claim is routed to the appropriate organisation.</w:t>
      </w:r>
    </w:p>
    <w:p w:rsidR="00870302" w:rsidRPr="00C14056" w:rsidRDefault="00870302" w:rsidP="00C14056">
      <w:pPr>
        <w:pStyle w:val="Heading3"/>
      </w:pPr>
      <w:bookmarkStart w:id="192" w:name="_Toc389214828"/>
      <w:bookmarkStart w:id="193" w:name="_Toc396989156"/>
      <w:r w:rsidRPr="00C14056">
        <w:t>Partial Delegation of Claims to XCS</w:t>
      </w:r>
      <w:bookmarkEnd w:id="192"/>
      <w:bookmarkEnd w:id="193"/>
    </w:p>
    <w:p w:rsidR="00870302" w:rsidRPr="00D53B87" w:rsidRDefault="00870302" w:rsidP="00870302">
      <w:pPr>
        <w:rPr>
          <w:rFonts w:cs="Arial"/>
        </w:rPr>
      </w:pPr>
      <w:r w:rsidRPr="00D53B87">
        <w:rPr>
          <w:rFonts w:cs="Arial"/>
        </w:rPr>
        <w:t>When a risk is identified on which some or all claims will be delegated to XCS for agreement, Xchanging can record information against a copy of that risk record in CLASS so that all new claims created thereafter are routed to XCS rather than the original Lead Agreement Party. The following process will be initiated by Xchanging where a delegation of lead agreement on claims has been made to Xchanging:</w:t>
      </w:r>
    </w:p>
    <w:p w:rsidR="006D77F9" w:rsidRPr="00D53B87" w:rsidRDefault="00870302" w:rsidP="00870302">
      <w:pPr>
        <w:numPr>
          <w:ilvl w:val="0"/>
          <w:numId w:val="40"/>
        </w:numPr>
        <w:tabs>
          <w:tab w:val="clear" w:pos="720"/>
          <w:tab w:val="num" w:pos="567"/>
        </w:tabs>
        <w:spacing w:after="120"/>
        <w:ind w:left="567" w:hanging="567"/>
        <w:rPr>
          <w:rFonts w:cs="Arial"/>
        </w:rPr>
      </w:pPr>
      <w:r w:rsidRPr="00D53B87">
        <w:rPr>
          <w:rFonts w:cs="Arial"/>
        </w:rPr>
        <w:t>Xchanging will identify the rules to apply to CLASS</w:t>
      </w:r>
    </w:p>
    <w:p w:rsidR="00870302" w:rsidRPr="00D53B87" w:rsidRDefault="00870302" w:rsidP="00870302">
      <w:pPr>
        <w:numPr>
          <w:ilvl w:val="0"/>
          <w:numId w:val="40"/>
        </w:numPr>
        <w:tabs>
          <w:tab w:val="clear" w:pos="720"/>
          <w:tab w:val="num" w:pos="567"/>
        </w:tabs>
        <w:spacing w:after="120"/>
        <w:ind w:left="567" w:hanging="567"/>
        <w:rPr>
          <w:rFonts w:cs="Arial"/>
        </w:rPr>
      </w:pPr>
      <w:r w:rsidRPr="00D53B87">
        <w:rPr>
          <w:rFonts w:cs="Arial"/>
        </w:rPr>
        <w:t>Xchanging will manage internally the upload of the routing rules to CLASS</w:t>
      </w:r>
    </w:p>
    <w:p w:rsidR="00870302" w:rsidRPr="00D53B87" w:rsidRDefault="00870302" w:rsidP="00870302">
      <w:pPr>
        <w:rPr>
          <w:rFonts w:cs="Arial"/>
        </w:rPr>
      </w:pPr>
      <w:r w:rsidRPr="00D53B87">
        <w:rPr>
          <w:rFonts w:cs="Arial"/>
        </w:rPr>
        <w:t>It is possible for Xchanging to “bulk load” risk routing rules to CLASS</w:t>
      </w:r>
    </w:p>
    <w:p w:rsidR="00870302" w:rsidRPr="00C14056" w:rsidRDefault="00870302" w:rsidP="00C14056">
      <w:pPr>
        <w:pStyle w:val="Heading4"/>
      </w:pPr>
      <w:bookmarkStart w:id="194" w:name="_Toc389214829"/>
      <w:r w:rsidRPr="00C14056">
        <w:t>Delegate Button</w:t>
      </w:r>
      <w:bookmarkEnd w:id="194"/>
    </w:p>
    <w:p w:rsidR="00870302" w:rsidRPr="00D53B87" w:rsidRDefault="00870302" w:rsidP="00870302">
      <w:pPr>
        <w:rPr>
          <w:rFonts w:cs="Arial"/>
        </w:rPr>
      </w:pPr>
      <w:r w:rsidRPr="00D53B87">
        <w:rPr>
          <w:rFonts w:cs="Arial"/>
        </w:rPr>
        <w:t>In addition to Xchanging having the ability to update the risk record in CLASS to manage partial or full delegation of claims to XCS, the Lead Agreement Party will be able to select the “Delegate” option from within an individual ECF entry. This will route the particular transaction together with any further transactions on that UCR to XCS.</w:t>
      </w:r>
    </w:p>
    <w:p w:rsidR="00870302" w:rsidRPr="00C14056" w:rsidRDefault="00870302" w:rsidP="00C14056">
      <w:pPr>
        <w:pStyle w:val="Heading4"/>
      </w:pPr>
      <w:bookmarkStart w:id="195" w:name="_Toc389214830"/>
      <w:r w:rsidRPr="00C14056">
        <w:t>Undelegate</w:t>
      </w:r>
      <w:bookmarkEnd w:id="195"/>
    </w:p>
    <w:p w:rsidR="00870302" w:rsidRDefault="00870302" w:rsidP="00870302">
      <w:pPr>
        <w:rPr>
          <w:rFonts w:cs="Arial"/>
        </w:rPr>
      </w:pPr>
      <w:r w:rsidRPr="00D53B87">
        <w:rPr>
          <w:rFonts w:cs="Arial"/>
        </w:rPr>
        <w:t xml:space="preserve">Where a claim that has previously been delegated to XCS becomes outside of the terms of the delegation, e.g. where the monetary amount exceeds a pre-defined threshold, or where a Managing Agent chooses to withdraw the delegation, the XCS user may select an “Undelegate” response accessible in CLASS. This feature does require the claim to have an incomplete transaction on the </w:t>
      </w:r>
      <w:r w:rsidRPr="00D53B87">
        <w:rPr>
          <w:rFonts w:cs="Arial"/>
        </w:rPr>
        <w:lastRenderedPageBreak/>
        <w:t>UCR to which Xchanging can apply this response. If there is no incomplete transaction in ECF, the broker will be requested by the XCS adjuster to submit a transaction so that the “Undelegate” instruction can be executed. Thereafter, all subsequent transactions will be routed to the original Lead Agreement Party, unless they subsequently choose to re-delegate to XCS.</w:t>
      </w:r>
    </w:p>
    <w:p w:rsidR="00870302" w:rsidRPr="00805EDA" w:rsidRDefault="00870302" w:rsidP="00530CF8">
      <w:pPr>
        <w:pStyle w:val="Heading2"/>
      </w:pPr>
      <w:bookmarkStart w:id="196" w:name="_Toc389214831"/>
      <w:bookmarkStart w:id="197" w:name="_Toc396989157"/>
      <w:r w:rsidRPr="00805EDA">
        <w:t>Disagreement Between XCS and Lead Agreement Party</w:t>
      </w:r>
      <w:bookmarkEnd w:id="196"/>
      <w:bookmarkEnd w:id="197"/>
    </w:p>
    <w:p w:rsidR="00870302" w:rsidRDefault="00870302" w:rsidP="00870302">
      <w:pPr>
        <w:rPr>
          <w:rFonts w:cs="Arial"/>
        </w:rPr>
      </w:pPr>
      <w:r w:rsidRPr="00D53B87">
        <w:rPr>
          <w:rFonts w:cs="Arial"/>
        </w:rPr>
        <w:t>XCS will adopt a different process depending on</w:t>
      </w:r>
      <w:r w:rsidR="001C3260" w:rsidRPr="00D53B87">
        <w:rPr>
          <w:rFonts w:cs="Arial"/>
        </w:rPr>
        <w:t xml:space="preserve"> the nature of the disagreement</w:t>
      </w:r>
      <w:r w:rsidR="001C3260" w:rsidRPr="00E65CFC">
        <w:rPr>
          <w:rFonts w:cs="Arial"/>
        </w:rPr>
        <w:t>.</w:t>
      </w:r>
    </w:p>
    <w:p w:rsidR="00AF0E18" w:rsidRPr="00D64309" w:rsidRDefault="00AF0E18" w:rsidP="00AF0E18">
      <w:pPr>
        <w:rPr>
          <w:rFonts w:cs="Arial"/>
        </w:rPr>
      </w:pPr>
      <w:r w:rsidRPr="00D64309">
        <w:rPr>
          <w:rFonts w:cs="Arial"/>
        </w:rPr>
        <w:t xml:space="preserve">The table below shows examples of how each response may be used. These are for </w:t>
      </w:r>
      <w:r w:rsidRPr="00D64309">
        <w:rPr>
          <w:rFonts w:cs="Arial"/>
          <w:u w:val="single"/>
        </w:rPr>
        <w:t>illustration only</w:t>
      </w:r>
      <w:r w:rsidRPr="00D64309">
        <w:rPr>
          <w:rFonts w:cs="Arial"/>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559"/>
        <w:gridCol w:w="4961"/>
      </w:tblGrid>
      <w:tr w:rsidR="00AF0E18" w:rsidRPr="00D64309" w:rsidTr="00267352">
        <w:trPr>
          <w:cantSplit/>
          <w:tblHeader/>
        </w:trPr>
        <w:tc>
          <w:tcPr>
            <w:tcW w:w="2552" w:type="dxa"/>
            <w:shd w:val="clear" w:color="auto" w:fill="C0C0C0"/>
          </w:tcPr>
          <w:p w:rsidR="00AF0E18" w:rsidRPr="00D64309" w:rsidRDefault="00AF0E18" w:rsidP="00267352">
            <w:pPr>
              <w:spacing w:before="120" w:after="120"/>
              <w:jc w:val="left"/>
              <w:rPr>
                <w:rFonts w:cs="Arial"/>
                <w:b/>
                <w:sz w:val="18"/>
                <w:szCs w:val="18"/>
              </w:rPr>
            </w:pPr>
            <w:r w:rsidRPr="00D64309">
              <w:rPr>
                <w:rFonts w:cs="Arial"/>
                <w:b/>
                <w:sz w:val="18"/>
                <w:szCs w:val="18"/>
              </w:rPr>
              <w:t>Scenario</w:t>
            </w:r>
          </w:p>
        </w:tc>
        <w:tc>
          <w:tcPr>
            <w:tcW w:w="1559" w:type="dxa"/>
            <w:shd w:val="clear" w:color="auto" w:fill="C0C0C0"/>
          </w:tcPr>
          <w:p w:rsidR="00AF0E18" w:rsidRPr="00D64309" w:rsidRDefault="00AF0E18" w:rsidP="00267352">
            <w:pPr>
              <w:spacing w:before="120" w:after="120"/>
              <w:jc w:val="left"/>
              <w:rPr>
                <w:rFonts w:cs="Arial"/>
                <w:b/>
                <w:sz w:val="18"/>
                <w:szCs w:val="18"/>
              </w:rPr>
            </w:pPr>
            <w:r w:rsidRPr="00D64309">
              <w:rPr>
                <w:rFonts w:cs="Arial"/>
                <w:b/>
                <w:sz w:val="18"/>
                <w:szCs w:val="18"/>
              </w:rPr>
              <w:t>Response</w:t>
            </w:r>
          </w:p>
        </w:tc>
        <w:tc>
          <w:tcPr>
            <w:tcW w:w="4961" w:type="dxa"/>
            <w:shd w:val="clear" w:color="auto" w:fill="C0C0C0"/>
          </w:tcPr>
          <w:p w:rsidR="00AF0E18" w:rsidRPr="00D64309" w:rsidRDefault="00AF0E18" w:rsidP="00267352">
            <w:pPr>
              <w:spacing w:before="120" w:after="120"/>
              <w:jc w:val="left"/>
              <w:rPr>
                <w:rFonts w:cs="Arial"/>
                <w:b/>
                <w:sz w:val="18"/>
                <w:szCs w:val="18"/>
              </w:rPr>
            </w:pPr>
            <w:r w:rsidRPr="00D64309">
              <w:rPr>
                <w:rFonts w:cs="Arial"/>
                <w:b/>
                <w:sz w:val="18"/>
                <w:szCs w:val="18"/>
              </w:rPr>
              <w:t>Additional instructions</w:t>
            </w:r>
          </w:p>
        </w:tc>
      </w:tr>
      <w:tr w:rsidR="00AF0E18" w:rsidRPr="00D64309" w:rsidTr="00267352">
        <w:trPr>
          <w:cantSplit/>
        </w:trPr>
        <w:tc>
          <w:tcPr>
            <w:tcW w:w="2552" w:type="dxa"/>
          </w:tcPr>
          <w:p w:rsidR="00AF0E18" w:rsidRPr="00D64309" w:rsidRDefault="00AF0E18" w:rsidP="00267352">
            <w:pPr>
              <w:spacing w:before="120" w:after="120"/>
              <w:jc w:val="left"/>
              <w:rPr>
                <w:rFonts w:cs="Arial"/>
                <w:sz w:val="18"/>
                <w:szCs w:val="18"/>
              </w:rPr>
            </w:pPr>
            <w:r w:rsidRPr="00D64309">
              <w:rPr>
                <w:rFonts w:cs="Arial"/>
                <w:sz w:val="18"/>
                <w:szCs w:val="18"/>
              </w:rPr>
              <w:t>Accept transaction and broker provided reserve</w:t>
            </w:r>
          </w:p>
          <w:p w:rsidR="00AF0E18" w:rsidRPr="00D64309" w:rsidRDefault="00AF0E18" w:rsidP="00267352">
            <w:pPr>
              <w:spacing w:before="120" w:after="120"/>
              <w:jc w:val="left"/>
              <w:rPr>
                <w:rFonts w:cs="Arial"/>
                <w:sz w:val="18"/>
                <w:szCs w:val="18"/>
              </w:rPr>
            </w:pPr>
          </w:p>
        </w:tc>
        <w:tc>
          <w:tcPr>
            <w:tcW w:w="1559" w:type="dxa"/>
          </w:tcPr>
          <w:p w:rsidR="00AF0E18" w:rsidRPr="00D64309" w:rsidRDefault="00AF0E18" w:rsidP="00267352">
            <w:pPr>
              <w:spacing w:before="120" w:after="120"/>
              <w:jc w:val="left"/>
              <w:rPr>
                <w:rFonts w:cs="Arial"/>
                <w:b/>
                <w:sz w:val="18"/>
                <w:szCs w:val="18"/>
              </w:rPr>
            </w:pPr>
            <w:r w:rsidRPr="00D64309">
              <w:rPr>
                <w:rFonts w:cs="Arial"/>
                <w:b/>
                <w:sz w:val="18"/>
                <w:szCs w:val="18"/>
              </w:rPr>
              <w:t>Seen / Action</w:t>
            </w:r>
          </w:p>
          <w:p w:rsidR="00AF0E18" w:rsidRPr="00D64309" w:rsidRDefault="00AF0E18" w:rsidP="00267352">
            <w:pPr>
              <w:spacing w:before="120" w:after="120"/>
              <w:jc w:val="left"/>
              <w:rPr>
                <w:rFonts w:cs="Arial"/>
                <w:b/>
                <w:sz w:val="18"/>
                <w:szCs w:val="18"/>
              </w:rPr>
            </w:pPr>
          </w:p>
        </w:tc>
        <w:tc>
          <w:tcPr>
            <w:tcW w:w="4961" w:type="dxa"/>
          </w:tcPr>
          <w:p w:rsidR="00AF0E18" w:rsidRPr="00D64309" w:rsidRDefault="00AF0E18" w:rsidP="00267352">
            <w:pPr>
              <w:spacing w:before="120" w:after="120"/>
              <w:jc w:val="left"/>
              <w:rPr>
                <w:rFonts w:cs="Arial"/>
                <w:sz w:val="18"/>
                <w:szCs w:val="18"/>
              </w:rPr>
            </w:pPr>
            <w:r w:rsidRPr="00D64309">
              <w:rPr>
                <w:rFonts w:cs="Arial"/>
                <w:sz w:val="18"/>
                <w:szCs w:val="18"/>
              </w:rPr>
              <w:t>Add appropriate Agreement Party comments</w:t>
            </w:r>
          </w:p>
          <w:p w:rsidR="00AF0E18" w:rsidRPr="00D64309" w:rsidRDefault="00AF0E18" w:rsidP="00267352">
            <w:pPr>
              <w:spacing w:before="120" w:after="120"/>
              <w:jc w:val="left"/>
              <w:rPr>
                <w:rFonts w:cs="Arial"/>
                <w:sz w:val="18"/>
                <w:szCs w:val="18"/>
              </w:rPr>
            </w:pPr>
            <w:r w:rsidRPr="00D64309">
              <w:rPr>
                <w:rFonts w:cs="Arial"/>
                <w:sz w:val="18"/>
                <w:szCs w:val="18"/>
              </w:rPr>
              <w:t>N.B. Where additional clarification is required, but the Agreement Parties wish to establish the reserve in underwriters records, use the Seen/Action response and add the request for clarification into the Agreement Party comments</w:t>
            </w:r>
          </w:p>
        </w:tc>
      </w:tr>
      <w:tr w:rsidR="00AF0E18" w:rsidRPr="00D64309" w:rsidTr="00267352">
        <w:trPr>
          <w:cantSplit/>
        </w:trPr>
        <w:tc>
          <w:tcPr>
            <w:tcW w:w="2552" w:type="dxa"/>
          </w:tcPr>
          <w:p w:rsidR="00AF0E18" w:rsidRPr="00D64309" w:rsidRDefault="00AF0E18" w:rsidP="00267352">
            <w:pPr>
              <w:spacing w:before="120" w:after="120"/>
              <w:jc w:val="left"/>
              <w:rPr>
                <w:rFonts w:cs="Arial"/>
                <w:sz w:val="18"/>
                <w:szCs w:val="18"/>
              </w:rPr>
            </w:pPr>
            <w:r w:rsidRPr="00D64309">
              <w:rPr>
                <w:rFonts w:cs="Arial"/>
                <w:sz w:val="18"/>
                <w:szCs w:val="18"/>
              </w:rPr>
              <w:t>Accept transaction, broker provided reserve, and payment submitted</w:t>
            </w:r>
          </w:p>
        </w:tc>
        <w:tc>
          <w:tcPr>
            <w:tcW w:w="1559" w:type="dxa"/>
          </w:tcPr>
          <w:p w:rsidR="00AF0E18" w:rsidRPr="00D64309" w:rsidRDefault="00AF0E18" w:rsidP="00267352">
            <w:pPr>
              <w:spacing w:before="120" w:after="120"/>
              <w:jc w:val="left"/>
              <w:rPr>
                <w:rFonts w:cs="Arial"/>
                <w:b/>
                <w:sz w:val="18"/>
                <w:szCs w:val="18"/>
              </w:rPr>
            </w:pPr>
            <w:r w:rsidRPr="00D64309">
              <w:rPr>
                <w:rFonts w:cs="Arial"/>
                <w:b/>
                <w:sz w:val="18"/>
                <w:szCs w:val="18"/>
              </w:rPr>
              <w:t>Agree pay</w:t>
            </w:r>
          </w:p>
        </w:tc>
        <w:tc>
          <w:tcPr>
            <w:tcW w:w="4961" w:type="dxa"/>
          </w:tcPr>
          <w:p w:rsidR="00AF0E18" w:rsidRPr="00D64309" w:rsidRDefault="00AF0E18" w:rsidP="00267352">
            <w:pPr>
              <w:spacing w:before="120" w:after="120"/>
              <w:jc w:val="left"/>
              <w:rPr>
                <w:rFonts w:cs="Arial"/>
                <w:sz w:val="18"/>
                <w:szCs w:val="18"/>
              </w:rPr>
            </w:pPr>
            <w:r w:rsidRPr="00D64309">
              <w:rPr>
                <w:rFonts w:cs="Arial"/>
                <w:sz w:val="18"/>
                <w:szCs w:val="18"/>
              </w:rPr>
              <w:t>Add appropriate Agreement Party comments</w:t>
            </w:r>
          </w:p>
        </w:tc>
      </w:tr>
      <w:tr w:rsidR="00AF0E18" w:rsidRPr="00D64309" w:rsidTr="00267352">
        <w:trPr>
          <w:cantSplit/>
        </w:trPr>
        <w:tc>
          <w:tcPr>
            <w:tcW w:w="2552" w:type="dxa"/>
          </w:tcPr>
          <w:p w:rsidR="00AF0E18" w:rsidRPr="00D64309" w:rsidRDefault="00AF0E18" w:rsidP="00267352">
            <w:pPr>
              <w:spacing w:before="120" w:after="120"/>
              <w:jc w:val="left"/>
              <w:rPr>
                <w:rFonts w:cs="Arial"/>
                <w:sz w:val="18"/>
                <w:szCs w:val="18"/>
              </w:rPr>
            </w:pPr>
            <w:r w:rsidRPr="00D64309">
              <w:rPr>
                <w:rFonts w:cs="Arial"/>
                <w:sz w:val="18"/>
                <w:szCs w:val="18"/>
              </w:rPr>
              <w:t>Transaction including payment submitted - Accept outstanding claim reserve, but do not agree to make payment at this time</w:t>
            </w:r>
          </w:p>
        </w:tc>
        <w:tc>
          <w:tcPr>
            <w:tcW w:w="1559" w:type="dxa"/>
          </w:tcPr>
          <w:p w:rsidR="00AF0E18" w:rsidRPr="00D64309" w:rsidRDefault="00AF0E18" w:rsidP="00267352">
            <w:pPr>
              <w:spacing w:before="120" w:after="120"/>
              <w:jc w:val="left"/>
              <w:rPr>
                <w:rFonts w:cs="Arial"/>
                <w:b/>
                <w:sz w:val="18"/>
                <w:szCs w:val="18"/>
              </w:rPr>
            </w:pPr>
            <w:r w:rsidRPr="00D64309">
              <w:rPr>
                <w:rFonts w:cs="Arial"/>
                <w:b/>
                <w:sz w:val="18"/>
                <w:szCs w:val="18"/>
              </w:rPr>
              <w:t>Query / Return</w:t>
            </w:r>
          </w:p>
        </w:tc>
        <w:tc>
          <w:tcPr>
            <w:tcW w:w="4961" w:type="dxa"/>
          </w:tcPr>
          <w:p w:rsidR="00AF0E18" w:rsidRPr="00D64309" w:rsidRDefault="00AF0E18" w:rsidP="00267352">
            <w:pPr>
              <w:spacing w:before="120" w:after="120"/>
              <w:jc w:val="left"/>
              <w:rPr>
                <w:rFonts w:cs="Arial"/>
                <w:sz w:val="18"/>
                <w:szCs w:val="18"/>
              </w:rPr>
            </w:pPr>
            <w:r w:rsidRPr="00D64309">
              <w:rPr>
                <w:rFonts w:cs="Arial"/>
                <w:sz w:val="18"/>
                <w:szCs w:val="18"/>
              </w:rPr>
              <w:t>Add agreement to reserve in Agreement Party comments together with query to the broker.</w:t>
            </w:r>
          </w:p>
        </w:tc>
      </w:tr>
      <w:tr w:rsidR="00AF0E18" w:rsidRPr="00D64309" w:rsidTr="00267352">
        <w:trPr>
          <w:cantSplit/>
        </w:trPr>
        <w:tc>
          <w:tcPr>
            <w:tcW w:w="2552" w:type="dxa"/>
          </w:tcPr>
          <w:p w:rsidR="00AF0E18" w:rsidRPr="00D64309" w:rsidRDefault="00AF0E18" w:rsidP="00267352">
            <w:pPr>
              <w:spacing w:before="120" w:after="120"/>
              <w:jc w:val="left"/>
              <w:rPr>
                <w:rFonts w:cs="Arial"/>
                <w:sz w:val="18"/>
                <w:szCs w:val="18"/>
              </w:rPr>
            </w:pPr>
            <w:r w:rsidRPr="00D64309">
              <w:rPr>
                <w:rFonts w:cs="Arial"/>
                <w:sz w:val="18"/>
                <w:szCs w:val="18"/>
              </w:rPr>
              <w:t>Broker advises the reported claim reserve only, but Lead Agreement Party wishes to carry a reserve that differs to the reported claim reserve</w:t>
            </w:r>
          </w:p>
        </w:tc>
        <w:tc>
          <w:tcPr>
            <w:tcW w:w="1559" w:type="dxa"/>
          </w:tcPr>
          <w:p w:rsidR="00AF0E18" w:rsidRPr="00D64309" w:rsidRDefault="00AF0E18" w:rsidP="00267352">
            <w:pPr>
              <w:spacing w:before="120" w:after="120"/>
              <w:jc w:val="left"/>
              <w:rPr>
                <w:rFonts w:cs="Arial"/>
                <w:b/>
                <w:sz w:val="18"/>
                <w:szCs w:val="18"/>
              </w:rPr>
            </w:pPr>
            <w:r w:rsidRPr="00D64309">
              <w:rPr>
                <w:rFonts w:cs="Arial"/>
                <w:b/>
                <w:sz w:val="18"/>
                <w:szCs w:val="18"/>
              </w:rPr>
              <w:t>Seen / Action</w:t>
            </w:r>
          </w:p>
        </w:tc>
        <w:tc>
          <w:tcPr>
            <w:tcW w:w="4961" w:type="dxa"/>
          </w:tcPr>
          <w:p w:rsidR="00AF0E18" w:rsidRPr="00D64309" w:rsidRDefault="00AF0E18" w:rsidP="00267352">
            <w:pPr>
              <w:spacing w:before="120" w:after="120"/>
              <w:jc w:val="left"/>
              <w:rPr>
                <w:rFonts w:cs="Arial"/>
                <w:sz w:val="18"/>
                <w:szCs w:val="18"/>
              </w:rPr>
            </w:pPr>
            <w:r w:rsidRPr="00D64309">
              <w:rPr>
                <w:rFonts w:cs="Arial"/>
                <w:sz w:val="18"/>
                <w:szCs w:val="18"/>
              </w:rPr>
              <w:t xml:space="preserve">Lead Agreement Party may discuss with other Agreement Parties and XCS to endeavour to agree upon the reserve that should be carried (Refer to Lloyd’s Claims Scheme and Minimum Standards). The Lead Agreement Party may then enter different reserves for Indemnity and fees (per currency), see section </w:t>
            </w:r>
            <w:fldSimple w:instr=" REF  LeadersReserves \n  \* MERGEFORMAT ">
              <w:r w:rsidR="00893EB3" w:rsidRPr="00893EB3">
                <w:rPr>
                  <w:rFonts w:cs="Arial"/>
                  <w:sz w:val="18"/>
                  <w:szCs w:val="18"/>
                </w:rPr>
                <w:t>2.28.1</w:t>
              </w:r>
            </w:fldSimple>
            <w:r w:rsidRPr="00D64309">
              <w:rPr>
                <w:rFonts w:cs="Arial"/>
                <w:sz w:val="18"/>
                <w:szCs w:val="18"/>
              </w:rPr>
              <w:t xml:space="preserve">. </w:t>
            </w:r>
          </w:p>
        </w:tc>
      </w:tr>
      <w:tr w:rsidR="00AF0E18" w:rsidRPr="00D64309" w:rsidTr="00267352">
        <w:trPr>
          <w:cantSplit/>
        </w:trPr>
        <w:tc>
          <w:tcPr>
            <w:tcW w:w="2552" w:type="dxa"/>
          </w:tcPr>
          <w:p w:rsidR="00AF0E18" w:rsidRPr="00D64309" w:rsidRDefault="00AF0E18" w:rsidP="00267352">
            <w:pPr>
              <w:spacing w:before="120" w:after="120"/>
              <w:jc w:val="left"/>
              <w:rPr>
                <w:rFonts w:cs="Arial"/>
                <w:sz w:val="18"/>
                <w:szCs w:val="18"/>
              </w:rPr>
            </w:pPr>
            <w:r w:rsidRPr="00D64309">
              <w:rPr>
                <w:rFonts w:cs="Arial"/>
                <w:sz w:val="18"/>
                <w:szCs w:val="18"/>
              </w:rPr>
              <w:t>Broker advises the reported claim reserve only, but XCS  or another Agreement Party wish to carry a reserve that differs to the reported claim reserve</w:t>
            </w:r>
          </w:p>
        </w:tc>
        <w:tc>
          <w:tcPr>
            <w:tcW w:w="1559" w:type="dxa"/>
          </w:tcPr>
          <w:p w:rsidR="00AF0E18" w:rsidRPr="00D64309" w:rsidRDefault="00AF0E18" w:rsidP="00267352">
            <w:pPr>
              <w:spacing w:before="120" w:after="120"/>
              <w:jc w:val="left"/>
              <w:rPr>
                <w:rFonts w:cs="Arial"/>
                <w:b/>
                <w:sz w:val="18"/>
                <w:szCs w:val="18"/>
              </w:rPr>
            </w:pPr>
            <w:r w:rsidRPr="00D64309">
              <w:rPr>
                <w:rFonts w:cs="Arial"/>
                <w:b/>
                <w:sz w:val="18"/>
                <w:szCs w:val="18"/>
              </w:rPr>
              <w:t>Seen / Action</w:t>
            </w:r>
          </w:p>
        </w:tc>
        <w:tc>
          <w:tcPr>
            <w:tcW w:w="4961" w:type="dxa"/>
          </w:tcPr>
          <w:p w:rsidR="00AF0E18" w:rsidRPr="00D64309" w:rsidRDefault="00AF0E18" w:rsidP="00267352">
            <w:pPr>
              <w:spacing w:before="120" w:after="120"/>
              <w:jc w:val="left"/>
              <w:rPr>
                <w:rFonts w:cs="Arial"/>
                <w:sz w:val="18"/>
                <w:szCs w:val="18"/>
              </w:rPr>
            </w:pPr>
            <w:r w:rsidRPr="00D64309">
              <w:rPr>
                <w:rFonts w:cs="Arial"/>
                <w:sz w:val="18"/>
                <w:szCs w:val="18"/>
              </w:rPr>
              <w:t>XCS or other Agreement Parties should discuss with the Lead Agreement Party to endeavour to agree upon the reserve that should be carried (Refer Lloyd’s Claims Scheme and Minimum Standards). The decision should be recorded in the Agreement Party’s comments.</w:t>
            </w:r>
          </w:p>
        </w:tc>
      </w:tr>
      <w:tr w:rsidR="00AF0E18" w:rsidRPr="00D64309" w:rsidTr="00267352">
        <w:trPr>
          <w:cantSplit/>
        </w:trPr>
        <w:tc>
          <w:tcPr>
            <w:tcW w:w="2552" w:type="dxa"/>
          </w:tcPr>
          <w:p w:rsidR="00AF0E18" w:rsidRPr="00D64309" w:rsidRDefault="00AF0E18" w:rsidP="00267352">
            <w:pPr>
              <w:spacing w:before="120" w:after="120"/>
              <w:jc w:val="left"/>
              <w:rPr>
                <w:rFonts w:cs="Arial"/>
                <w:sz w:val="18"/>
                <w:szCs w:val="18"/>
              </w:rPr>
            </w:pPr>
            <w:r w:rsidRPr="00D64309">
              <w:rPr>
                <w:rFonts w:cs="Arial"/>
                <w:sz w:val="18"/>
                <w:szCs w:val="18"/>
              </w:rPr>
              <w:t xml:space="preserve">Incorrect data in </w:t>
            </w:r>
            <w:hyperlink r:id="rId26" w:history="1">
              <w:r w:rsidRPr="00D64309">
                <w:rPr>
                  <w:rStyle w:val="Hyperlink"/>
                  <w:rFonts w:cs="Arial"/>
                  <w:color w:val="000000"/>
                  <w:sz w:val="18"/>
                  <w:szCs w:val="18"/>
                  <w:u w:val="none"/>
                </w:rPr>
                <w:t>CLASS@L</w:t>
              </w:r>
            </w:hyperlink>
            <w:r w:rsidRPr="00D64309">
              <w:rPr>
                <w:rFonts w:cs="Arial"/>
                <w:color w:val="000000"/>
                <w:sz w:val="18"/>
                <w:szCs w:val="18"/>
              </w:rPr>
              <w:t>loyd’s</w:t>
            </w:r>
            <w:r w:rsidRPr="00D64309">
              <w:rPr>
                <w:rFonts w:cs="Arial"/>
                <w:sz w:val="18"/>
                <w:szCs w:val="18"/>
              </w:rPr>
              <w:t xml:space="preserve"> which can be edited by XCS in XCS CLASS – e.g. Date of Loss, broker reserve incorrectly stated, etc</w:t>
            </w:r>
          </w:p>
          <w:p w:rsidR="00AF0E18" w:rsidRPr="00D64309" w:rsidRDefault="00AF0E18" w:rsidP="00267352">
            <w:pPr>
              <w:spacing w:before="120" w:after="120"/>
              <w:jc w:val="left"/>
              <w:rPr>
                <w:rFonts w:cs="Arial"/>
                <w:sz w:val="18"/>
                <w:szCs w:val="18"/>
              </w:rPr>
            </w:pPr>
          </w:p>
        </w:tc>
        <w:tc>
          <w:tcPr>
            <w:tcW w:w="1559" w:type="dxa"/>
          </w:tcPr>
          <w:p w:rsidR="00AF0E18" w:rsidRPr="00D64309" w:rsidRDefault="00AF0E18" w:rsidP="00267352">
            <w:pPr>
              <w:spacing w:before="120" w:after="120"/>
              <w:jc w:val="left"/>
              <w:rPr>
                <w:rFonts w:cs="Arial"/>
                <w:sz w:val="18"/>
                <w:szCs w:val="18"/>
              </w:rPr>
            </w:pPr>
            <w:r w:rsidRPr="00D64309">
              <w:rPr>
                <w:rFonts w:cs="Arial"/>
                <w:b/>
                <w:sz w:val="18"/>
                <w:szCs w:val="18"/>
              </w:rPr>
              <w:t xml:space="preserve">Query/Return </w:t>
            </w:r>
          </w:p>
          <w:p w:rsidR="00AF0E18" w:rsidRPr="00D64309" w:rsidRDefault="00AF0E18" w:rsidP="00267352">
            <w:pPr>
              <w:spacing w:before="120" w:after="120"/>
              <w:jc w:val="left"/>
              <w:rPr>
                <w:rFonts w:cs="Arial"/>
                <w:b/>
                <w:sz w:val="18"/>
                <w:szCs w:val="18"/>
              </w:rPr>
            </w:pPr>
          </w:p>
        </w:tc>
        <w:tc>
          <w:tcPr>
            <w:tcW w:w="4961" w:type="dxa"/>
          </w:tcPr>
          <w:p w:rsidR="00AF0E18" w:rsidRPr="00D64309" w:rsidRDefault="00AF0E18" w:rsidP="00267352">
            <w:pPr>
              <w:spacing w:before="120" w:after="120"/>
              <w:jc w:val="left"/>
              <w:rPr>
                <w:rFonts w:cs="Arial"/>
                <w:sz w:val="18"/>
                <w:szCs w:val="18"/>
              </w:rPr>
            </w:pPr>
            <w:r w:rsidRPr="00D64309">
              <w:rPr>
                <w:rFonts w:cs="Arial"/>
                <w:sz w:val="18"/>
                <w:szCs w:val="18"/>
              </w:rPr>
              <w:t>Enter a response of Query/Return and ask the broker to amend the Date of Loss or reserve, etc, by processing a replacement or amended transaction. These instructions should be added to the Agreement Party comments. XCS will still produce the appropriate SCM where possible.</w:t>
            </w:r>
          </w:p>
        </w:tc>
      </w:tr>
      <w:tr w:rsidR="00AF0E18" w:rsidRPr="00D64309" w:rsidTr="00267352">
        <w:trPr>
          <w:cantSplit/>
        </w:trPr>
        <w:tc>
          <w:tcPr>
            <w:tcW w:w="2552" w:type="dxa"/>
          </w:tcPr>
          <w:p w:rsidR="00AF0E18" w:rsidRPr="00D64309" w:rsidRDefault="00AF0E18" w:rsidP="00267352">
            <w:pPr>
              <w:spacing w:before="120" w:after="120"/>
              <w:jc w:val="left"/>
              <w:rPr>
                <w:rFonts w:cs="Arial"/>
                <w:sz w:val="18"/>
                <w:szCs w:val="18"/>
              </w:rPr>
            </w:pPr>
            <w:r w:rsidRPr="00D64309">
              <w:rPr>
                <w:rFonts w:cs="Arial"/>
                <w:sz w:val="18"/>
                <w:szCs w:val="18"/>
              </w:rPr>
              <w:t>Advice sent to wrong Managing agency</w:t>
            </w:r>
          </w:p>
        </w:tc>
        <w:tc>
          <w:tcPr>
            <w:tcW w:w="1559" w:type="dxa"/>
          </w:tcPr>
          <w:p w:rsidR="00AF0E18" w:rsidRPr="00D64309" w:rsidRDefault="00AF0E18" w:rsidP="00267352">
            <w:pPr>
              <w:spacing w:before="120" w:after="120"/>
              <w:jc w:val="left"/>
              <w:rPr>
                <w:rFonts w:cs="Arial"/>
                <w:b/>
                <w:sz w:val="18"/>
                <w:szCs w:val="18"/>
              </w:rPr>
            </w:pPr>
            <w:r w:rsidRPr="00D64309">
              <w:rPr>
                <w:rFonts w:cs="Arial"/>
                <w:b/>
                <w:sz w:val="18"/>
                <w:szCs w:val="18"/>
              </w:rPr>
              <w:t>Query / Return</w:t>
            </w:r>
          </w:p>
        </w:tc>
        <w:tc>
          <w:tcPr>
            <w:tcW w:w="4961" w:type="dxa"/>
          </w:tcPr>
          <w:p w:rsidR="00AF0E18" w:rsidRPr="00D64309" w:rsidRDefault="00AF0E18" w:rsidP="00267352">
            <w:pPr>
              <w:spacing w:before="120" w:after="120"/>
              <w:jc w:val="left"/>
              <w:rPr>
                <w:rFonts w:cs="Arial"/>
                <w:sz w:val="18"/>
                <w:szCs w:val="18"/>
              </w:rPr>
            </w:pPr>
            <w:r w:rsidRPr="00D64309">
              <w:rPr>
                <w:rFonts w:cs="Arial"/>
                <w:sz w:val="18"/>
                <w:szCs w:val="18"/>
              </w:rPr>
              <w:t>Add reason for query to Agreement Party comments</w:t>
            </w:r>
          </w:p>
        </w:tc>
      </w:tr>
      <w:tr w:rsidR="00AF0E18" w:rsidRPr="00D64309" w:rsidTr="00267352">
        <w:trPr>
          <w:cantSplit/>
        </w:trPr>
        <w:tc>
          <w:tcPr>
            <w:tcW w:w="2552" w:type="dxa"/>
          </w:tcPr>
          <w:p w:rsidR="00AF0E18" w:rsidRPr="00D64309" w:rsidRDefault="00AF0E18" w:rsidP="00267352">
            <w:pPr>
              <w:spacing w:before="120" w:after="120"/>
              <w:jc w:val="left"/>
              <w:rPr>
                <w:rFonts w:cs="Arial"/>
                <w:sz w:val="18"/>
                <w:szCs w:val="18"/>
              </w:rPr>
            </w:pPr>
            <w:r w:rsidRPr="00D64309">
              <w:rPr>
                <w:rFonts w:cs="Arial"/>
                <w:sz w:val="18"/>
                <w:szCs w:val="18"/>
              </w:rPr>
              <w:t>Dispute coverage but not yet decided whether to deny claim</w:t>
            </w:r>
          </w:p>
        </w:tc>
        <w:tc>
          <w:tcPr>
            <w:tcW w:w="1559" w:type="dxa"/>
          </w:tcPr>
          <w:p w:rsidR="00AF0E18" w:rsidRPr="00D64309" w:rsidRDefault="00AF0E18" w:rsidP="00267352">
            <w:pPr>
              <w:spacing w:before="120" w:after="120"/>
              <w:jc w:val="left"/>
              <w:rPr>
                <w:rFonts w:cs="Arial"/>
                <w:b/>
                <w:sz w:val="18"/>
                <w:szCs w:val="18"/>
              </w:rPr>
            </w:pPr>
            <w:r w:rsidRPr="00D64309">
              <w:rPr>
                <w:rFonts w:cs="Arial"/>
                <w:b/>
                <w:sz w:val="18"/>
                <w:szCs w:val="18"/>
              </w:rPr>
              <w:t>Seen / Action</w:t>
            </w:r>
          </w:p>
        </w:tc>
        <w:tc>
          <w:tcPr>
            <w:tcW w:w="4961" w:type="dxa"/>
          </w:tcPr>
          <w:p w:rsidR="00AF0E18" w:rsidRPr="00D64309" w:rsidRDefault="00AF0E18" w:rsidP="00267352">
            <w:pPr>
              <w:spacing w:before="120" w:after="120"/>
              <w:jc w:val="left"/>
              <w:rPr>
                <w:rFonts w:cs="Arial"/>
                <w:sz w:val="18"/>
                <w:szCs w:val="18"/>
              </w:rPr>
            </w:pPr>
            <w:r w:rsidRPr="00D64309">
              <w:rPr>
                <w:rFonts w:cs="Arial"/>
                <w:sz w:val="18"/>
                <w:szCs w:val="18"/>
              </w:rPr>
              <w:t>Update Agreement Party comments under a caveat e.g. “on a WP basis” and/or under a “Reservation of rights”</w:t>
            </w:r>
          </w:p>
        </w:tc>
      </w:tr>
      <w:tr w:rsidR="00AF0E18" w:rsidRPr="00D64309" w:rsidTr="00267352">
        <w:trPr>
          <w:cantSplit/>
        </w:trPr>
        <w:tc>
          <w:tcPr>
            <w:tcW w:w="2552" w:type="dxa"/>
          </w:tcPr>
          <w:p w:rsidR="00AF0E18" w:rsidRPr="00D64309" w:rsidRDefault="00AF0E18" w:rsidP="00267352">
            <w:pPr>
              <w:spacing w:before="120" w:after="120"/>
              <w:jc w:val="left"/>
              <w:rPr>
                <w:rFonts w:cs="Arial"/>
                <w:sz w:val="18"/>
                <w:szCs w:val="18"/>
              </w:rPr>
            </w:pPr>
            <w:r w:rsidRPr="00D64309">
              <w:rPr>
                <w:rFonts w:cs="Arial"/>
                <w:sz w:val="18"/>
                <w:szCs w:val="18"/>
              </w:rPr>
              <w:t>Lead Agreement Party wishes to deny claim</w:t>
            </w:r>
          </w:p>
        </w:tc>
        <w:tc>
          <w:tcPr>
            <w:tcW w:w="1559" w:type="dxa"/>
          </w:tcPr>
          <w:p w:rsidR="00AF0E18" w:rsidRPr="00D64309" w:rsidRDefault="00AF0E18" w:rsidP="00267352">
            <w:pPr>
              <w:spacing w:before="120" w:after="120"/>
              <w:jc w:val="left"/>
              <w:rPr>
                <w:rFonts w:cs="Arial"/>
                <w:b/>
                <w:sz w:val="18"/>
                <w:szCs w:val="18"/>
              </w:rPr>
            </w:pPr>
            <w:r w:rsidRPr="00D64309">
              <w:rPr>
                <w:rFonts w:cs="Arial"/>
                <w:b/>
                <w:sz w:val="18"/>
                <w:szCs w:val="18"/>
              </w:rPr>
              <w:t>Use response as appropriate.</w:t>
            </w:r>
          </w:p>
        </w:tc>
        <w:tc>
          <w:tcPr>
            <w:tcW w:w="4961" w:type="dxa"/>
          </w:tcPr>
          <w:p w:rsidR="00AF0E18" w:rsidRPr="00D64309" w:rsidRDefault="00AF0E18" w:rsidP="00267352">
            <w:pPr>
              <w:spacing w:before="120" w:after="120"/>
              <w:jc w:val="left"/>
              <w:rPr>
                <w:rFonts w:cs="Arial"/>
                <w:sz w:val="18"/>
                <w:szCs w:val="18"/>
              </w:rPr>
            </w:pPr>
            <w:r w:rsidRPr="00D64309">
              <w:rPr>
                <w:rFonts w:cs="Arial"/>
                <w:sz w:val="18"/>
                <w:szCs w:val="18"/>
              </w:rPr>
              <w:t>Add intention to deny claim to Agreement Party comments</w:t>
            </w:r>
          </w:p>
        </w:tc>
      </w:tr>
      <w:tr w:rsidR="00AF0E18" w:rsidRPr="008D2CC0" w:rsidTr="00267352">
        <w:trPr>
          <w:cantSplit/>
        </w:trPr>
        <w:tc>
          <w:tcPr>
            <w:tcW w:w="2552" w:type="dxa"/>
          </w:tcPr>
          <w:p w:rsidR="00AF0E18" w:rsidRPr="008D2CC0" w:rsidRDefault="00AF0E18" w:rsidP="00267352">
            <w:pPr>
              <w:spacing w:before="120" w:after="120"/>
              <w:jc w:val="left"/>
              <w:rPr>
                <w:rFonts w:cs="Arial"/>
                <w:sz w:val="18"/>
                <w:szCs w:val="18"/>
              </w:rPr>
            </w:pPr>
            <w:r w:rsidRPr="008D2CC0">
              <w:rPr>
                <w:rFonts w:cs="Arial"/>
                <w:sz w:val="18"/>
                <w:szCs w:val="18"/>
              </w:rPr>
              <w:lastRenderedPageBreak/>
              <w:t>Lead Agreement Party wishes to delegate a claim to a VCS service provider</w:t>
            </w:r>
          </w:p>
        </w:tc>
        <w:tc>
          <w:tcPr>
            <w:tcW w:w="1559" w:type="dxa"/>
          </w:tcPr>
          <w:p w:rsidR="00AF0E18" w:rsidRPr="008D2CC0" w:rsidRDefault="00AF0E18" w:rsidP="00267352">
            <w:pPr>
              <w:spacing w:before="120" w:after="120"/>
              <w:jc w:val="left"/>
              <w:rPr>
                <w:rFonts w:cs="Arial"/>
                <w:b/>
                <w:sz w:val="18"/>
                <w:szCs w:val="18"/>
              </w:rPr>
            </w:pPr>
            <w:r w:rsidRPr="008D2CC0">
              <w:rPr>
                <w:rFonts w:cs="Arial"/>
                <w:b/>
                <w:sz w:val="18"/>
                <w:szCs w:val="18"/>
              </w:rPr>
              <w:t>Service/Action</w:t>
            </w:r>
          </w:p>
        </w:tc>
        <w:tc>
          <w:tcPr>
            <w:tcW w:w="4961" w:type="dxa"/>
          </w:tcPr>
          <w:p w:rsidR="00AF0E18" w:rsidRPr="008D2CC0" w:rsidRDefault="00AF0E18" w:rsidP="00267352">
            <w:pPr>
              <w:spacing w:before="120" w:after="120"/>
              <w:jc w:val="left"/>
              <w:rPr>
                <w:rFonts w:cs="Arial"/>
                <w:sz w:val="18"/>
                <w:szCs w:val="18"/>
              </w:rPr>
            </w:pPr>
            <w:r w:rsidRPr="008D2CC0">
              <w:rPr>
                <w:rFonts w:cs="Arial"/>
                <w:sz w:val="18"/>
                <w:szCs w:val="18"/>
              </w:rPr>
              <w:t>Add appropriate service provider to the Triage Category by selecting either VCS Crawford or VCS XCS</w:t>
            </w:r>
          </w:p>
          <w:p w:rsidR="00AF0E18" w:rsidRPr="008D2CC0" w:rsidRDefault="00AF0E18" w:rsidP="00267352">
            <w:pPr>
              <w:spacing w:before="120" w:after="120"/>
              <w:jc w:val="left"/>
              <w:rPr>
                <w:rFonts w:cs="Arial"/>
                <w:sz w:val="18"/>
                <w:szCs w:val="18"/>
              </w:rPr>
            </w:pPr>
            <w:r w:rsidRPr="00AF0E18">
              <w:rPr>
                <w:rFonts w:cs="Arial"/>
                <w:sz w:val="18"/>
                <w:szCs w:val="18"/>
              </w:rPr>
              <w:t>NB – Carriers must not use any other Response Codes when triaging a claim into VCS</w:t>
            </w:r>
          </w:p>
        </w:tc>
      </w:tr>
    </w:tbl>
    <w:p w:rsidR="00870302" w:rsidRPr="00805EDA" w:rsidRDefault="004C3649" w:rsidP="00805EDA">
      <w:pPr>
        <w:pStyle w:val="Heading4"/>
      </w:pPr>
      <w:bookmarkStart w:id="198" w:name="_Toc389214832"/>
      <w:r w:rsidRPr="004C3649">
        <w:t xml:space="preserve">When </w:t>
      </w:r>
      <w:r w:rsidR="00805EDA" w:rsidRPr="00805EDA">
        <w:t>t</w:t>
      </w:r>
      <w:r w:rsidRPr="004C3649">
        <w:t xml:space="preserve">here </w:t>
      </w:r>
      <w:r w:rsidR="00805EDA" w:rsidRPr="00805EDA">
        <w:t>a</w:t>
      </w:r>
      <w:r w:rsidRPr="004C3649">
        <w:t>re Data Errors by the Broker and/or Lead Agreement Party:</w:t>
      </w:r>
      <w:bookmarkEnd w:id="198"/>
    </w:p>
    <w:p w:rsidR="00870302" w:rsidRPr="00E65CFC" w:rsidRDefault="004C3649" w:rsidP="001C3260">
      <w:pPr>
        <w:pStyle w:val="Bullets"/>
        <w:numPr>
          <w:ilvl w:val="0"/>
          <w:numId w:val="0"/>
        </w:numPr>
        <w:ind w:left="397" w:hanging="397"/>
        <w:rPr>
          <w:rFonts w:cs="Arial"/>
          <w:b/>
          <w:bCs/>
        </w:rPr>
      </w:pPr>
      <w:r w:rsidRPr="004C3649">
        <w:rPr>
          <w:rFonts w:cs="Arial"/>
          <w:b/>
          <w:bCs/>
        </w:rPr>
        <w:t>Data Errors in non-editable fields:</w:t>
      </w:r>
    </w:p>
    <w:p w:rsidR="001C3260" w:rsidRPr="00E65CFC" w:rsidRDefault="004C3649" w:rsidP="001C3260">
      <w:pPr>
        <w:pStyle w:val="Bullets"/>
        <w:numPr>
          <w:ilvl w:val="0"/>
          <w:numId w:val="0"/>
        </w:numPr>
        <w:ind w:left="397" w:hanging="397"/>
        <w:rPr>
          <w:rFonts w:cs="Arial"/>
          <w:bCs/>
        </w:rPr>
      </w:pPr>
      <w:r w:rsidRPr="004C3649">
        <w:rPr>
          <w:rFonts w:cs="Arial"/>
          <w:bCs/>
        </w:rPr>
        <w:t>XCS will automatically “Query/Return” claims which have data errors which fall into non</w:t>
      </w:r>
    </w:p>
    <w:p w:rsidR="001E7924" w:rsidRPr="00E65CFC" w:rsidRDefault="004C3649" w:rsidP="001C3260">
      <w:pPr>
        <w:pStyle w:val="Bullets"/>
        <w:numPr>
          <w:ilvl w:val="0"/>
          <w:numId w:val="0"/>
        </w:numPr>
        <w:ind w:left="397" w:hanging="397"/>
        <w:rPr>
          <w:rFonts w:cs="Arial"/>
          <w:bCs/>
        </w:rPr>
      </w:pPr>
      <w:r w:rsidRPr="004C3649">
        <w:rPr>
          <w:rFonts w:cs="Arial"/>
          <w:bCs/>
        </w:rPr>
        <w:t>editable fields. These fields include:</w:t>
      </w:r>
    </w:p>
    <w:tbl>
      <w:tblPr>
        <w:tblStyle w:val="TableGrid"/>
        <w:tblW w:w="0" w:type="auto"/>
        <w:tblInd w:w="108" w:type="dxa"/>
        <w:tblLook w:val="04A0" w:firstRow="1" w:lastRow="0" w:firstColumn="1" w:lastColumn="0" w:noHBand="0" w:noVBand="1"/>
      </w:tblPr>
      <w:tblGrid>
        <w:gridCol w:w="2835"/>
        <w:gridCol w:w="5812"/>
      </w:tblGrid>
      <w:tr w:rsidR="006D77F9" w:rsidTr="00805EDA">
        <w:trPr>
          <w:trHeight w:val="247"/>
        </w:trPr>
        <w:tc>
          <w:tcPr>
            <w:tcW w:w="2835" w:type="dxa"/>
          </w:tcPr>
          <w:p w:rsidR="006D77F9" w:rsidRPr="006D77F9" w:rsidRDefault="006D77F9" w:rsidP="00336CAD">
            <w:pPr>
              <w:spacing w:after="0"/>
              <w:rPr>
                <w:rFonts w:cs="Arial"/>
              </w:rPr>
            </w:pPr>
            <w:r w:rsidRPr="006D77F9">
              <w:rPr>
                <w:rFonts w:cs="Arial"/>
              </w:rPr>
              <w:t>UCR</w:t>
            </w:r>
          </w:p>
        </w:tc>
        <w:tc>
          <w:tcPr>
            <w:tcW w:w="5812" w:type="dxa"/>
          </w:tcPr>
          <w:p w:rsidR="006D77F9" w:rsidRPr="006D77F9" w:rsidRDefault="006D77F9" w:rsidP="00336CAD">
            <w:pPr>
              <w:spacing w:after="0"/>
              <w:rPr>
                <w:rFonts w:cs="Arial"/>
                <w:b/>
              </w:rPr>
            </w:pPr>
            <w:r w:rsidRPr="006D77F9">
              <w:rPr>
                <w:rFonts w:cs="Arial"/>
              </w:rPr>
              <w:t>Settlement currency</w:t>
            </w:r>
          </w:p>
        </w:tc>
      </w:tr>
      <w:tr w:rsidR="006D77F9" w:rsidTr="00805EDA">
        <w:trPr>
          <w:trHeight w:val="247"/>
        </w:trPr>
        <w:tc>
          <w:tcPr>
            <w:tcW w:w="2835" w:type="dxa"/>
          </w:tcPr>
          <w:p w:rsidR="006D77F9" w:rsidRPr="006D77F9" w:rsidRDefault="006D77F9" w:rsidP="00336CAD">
            <w:pPr>
              <w:spacing w:after="0"/>
              <w:rPr>
                <w:rFonts w:cs="Arial"/>
                <w:b/>
              </w:rPr>
            </w:pPr>
            <w:r w:rsidRPr="006D77F9">
              <w:rPr>
                <w:rFonts w:cs="Arial"/>
              </w:rPr>
              <w:t>TR</w:t>
            </w:r>
          </w:p>
        </w:tc>
        <w:tc>
          <w:tcPr>
            <w:tcW w:w="5812" w:type="dxa"/>
          </w:tcPr>
          <w:p w:rsidR="006D77F9" w:rsidRPr="006D77F9" w:rsidRDefault="006D77F9" w:rsidP="00336CAD">
            <w:pPr>
              <w:spacing w:after="0"/>
              <w:rPr>
                <w:rFonts w:cs="Arial"/>
                <w:b/>
              </w:rPr>
            </w:pPr>
            <w:r w:rsidRPr="006D77F9">
              <w:rPr>
                <w:rFonts w:cs="Arial"/>
              </w:rPr>
              <w:t>Settlement amount</w:t>
            </w:r>
          </w:p>
        </w:tc>
      </w:tr>
      <w:tr w:rsidR="006D77F9" w:rsidTr="00805EDA">
        <w:trPr>
          <w:trHeight w:val="257"/>
        </w:trPr>
        <w:tc>
          <w:tcPr>
            <w:tcW w:w="2835" w:type="dxa"/>
          </w:tcPr>
          <w:p w:rsidR="006D77F9" w:rsidRPr="006D77F9" w:rsidRDefault="006D77F9" w:rsidP="00336CAD">
            <w:pPr>
              <w:spacing w:after="0"/>
              <w:rPr>
                <w:rFonts w:cs="Arial"/>
                <w:b/>
              </w:rPr>
            </w:pPr>
            <w:r w:rsidRPr="006D77F9">
              <w:rPr>
                <w:rFonts w:cs="Arial"/>
              </w:rPr>
              <w:t>Advice / Settlement</w:t>
            </w:r>
          </w:p>
        </w:tc>
        <w:tc>
          <w:tcPr>
            <w:tcW w:w="5812" w:type="dxa"/>
          </w:tcPr>
          <w:p w:rsidR="006D77F9" w:rsidRPr="006D77F9" w:rsidRDefault="006D77F9" w:rsidP="00336CAD">
            <w:pPr>
              <w:spacing w:after="0"/>
              <w:rPr>
                <w:rFonts w:cs="Arial"/>
                <w:b/>
              </w:rPr>
            </w:pPr>
            <w:r w:rsidRPr="006D77F9">
              <w:rPr>
                <w:rFonts w:cs="Arial"/>
              </w:rPr>
              <w:t>Original broker</w:t>
            </w:r>
          </w:p>
        </w:tc>
      </w:tr>
      <w:tr w:rsidR="006D77F9" w:rsidTr="00805EDA">
        <w:trPr>
          <w:trHeight w:val="247"/>
        </w:trPr>
        <w:tc>
          <w:tcPr>
            <w:tcW w:w="2835" w:type="dxa"/>
          </w:tcPr>
          <w:p w:rsidR="006D77F9" w:rsidRPr="006D77F9" w:rsidRDefault="006D77F9" w:rsidP="00336CAD">
            <w:pPr>
              <w:spacing w:after="0"/>
              <w:rPr>
                <w:rFonts w:cs="Arial"/>
                <w:b/>
              </w:rPr>
            </w:pPr>
            <w:r w:rsidRPr="006D77F9">
              <w:rPr>
                <w:rFonts w:cs="Arial"/>
              </w:rPr>
              <w:t>UMR</w:t>
            </w:r>
          </w:p>
        </w:tc>
        <w:tc>
          <w:tcPr>
            <w:tcW w:w="5812" w:type="dxa"/>
          </w:tcPr>
          <w:p w:rsidR="006D77F9" w:rsidRPr="006D77F9" w:rsidRDefault="006D77F9" w:rsidP="00336CAD">
            <w:pPr>
              <w:spacing w:after="0"/>
              <w:rPr>
                <w:rFonts w:cs="Arial"/>
                <w:b/>
              </w:rPr>
            </w:pPr>
            <w:r w:rsidRPr="006D77F9">
              <w:rPr>
                <w:rFonts w:cs="Arial"/>
              </w:rPr>
              <w:t>Payee Broker No and Pseudonym</w:t>
            </w:r>
          </w:p>
        </w:tc>
      </w:tr>
      <w:tr w:rsidR="006D77F9" w:rsidTr="00805EDA">
        <w:trPr>
          <w:trHeight w:val="247"/>
        </w:trPr>
        <w:tc>
          <w:tcPr>
            <w:tcW w:w="2835" w:type="dxa"/>
          </w:tcPr>
          <w:p w:rsidR="006D77F9" w:rsidRPr="006D77F9" w:rsidRDefault="006D77F9" w:rsidP="00336CAD">
            <w:pPr>
              <w:spacing w:after="0"/>
              <w:rPr>
                <w:rFonts w:cs="Arial"/>
                <w:b/>
              </w:rPr>
            </w:pPr>
            <w:r w:rsidRPr="006D77F9">
              <w:rPr>
                <w:rFonts w:cs="Arial"/>
              </w:rPr>
              <w:t>Syndicates on risk</w:t>
            </w:r>
          </w:p>
        </w:tc>
        <w:tc>
          <w:tcPr>
            <w:tcW w:w="5812" w:type="dxa"/>
          </w:tcPr>
          <w:p w:rsidR="006D77F9" w:rsidRPr="006D77F9" w:rsidRDefault="006D77F9" w:rsidP="00336CAD">
            <w:pPr>
              <w:spacing w:after="0"/>
              <w:rPr>
                <w:rFonts w:cs="Arial"/>
              </w:rPr>
            </w:pPr>
            <w:r w:rsidRPr="006D77F9">
              <w:rPr>
                <w:rFonts w:cs="Arial"/>
              </w:rPr>
              <w:t>OSND</w:t>
            </w:r>
          </w:p>
        </w:tc>
      </w:tr>
      <w:tr w:rsidR="006D77F9" w:rsidTr="00805EDA">
        <w:trPr>
          <w:trHeight w:val="247"/>
        </w:trPr>
        <w:tc>
          <w:tcPr>
            <w:tcW w:w="2835" w:type="dxa"/>
          </w:tcPr>
          <w:p w:rsidR="006D77F9" w:rsidRPr="006D77F9" w:rsidRDefault="006D77F9" w:rsidP="00336CAD">
            <w:pPr>
              <w:spacing w:after="0"/>
              <w:rPr>
                <w:rFonts w:cs="Arial"/>
                <w:b/>
              </w:rPr>
            </w:pPr>
            <w:r w:rsidRPr="006D77F9">
              <w:rPr>
                <w:rFonts w:cs="Arial"/>
              </w:rPr>
              <w:t>Slip order</w:t>
            </w:r>
          </w:p>
        </w:tc>
        <w:tc>
          <w:tcPr>
            <w:tcW w:w="5812" w:type="dxa"/>
          </w:tcPr>
          <w:p w:rsidR="006D77F9" w:rsidRPr="006D77F9" w:rsidRDefault="006D77F9" w:rsidP="00336CAD">
            <w:pPr>
              <w:spacing w:after="0"/>
              <w:rPr>
                <w:rFonts w:cs="Arial"/>
                <w:b/>
              </w:rPr>
            </w:pPr>
            <w:r w:rsidRPr="006D77F9">
              <w:rPr>
                <w:rFonts w:cs="Arial"/>
              </w:rPr>
              <w:t>Settlement exchange rate</w:t>
            </w:r>
          </w:p>
        </w:tc>
      </w:tr>
      <w:tr w:rsidR="006D77F9" w:rsidTr="00805EDA">
        <w:trPr>
          <w:trHeight w:val="257"/>
        </w:trPr>
        <w:tc>
          <w:tcPr>
            <w:tcW w:w="2835" w:type="dxa"/>
          </w:tcPr>
          <w:p w:rsidR="006D77F9" w:rsidRPr="006D77F9" w:rsidRDefault="006D77F9" w:rsidP="00336CAD">
            <w:pPr>
              <w:spacing w:after="0"/>
              <w:rPr>
                <w:rFonts w:cs="Arial"/>
                <w:b/>
              </w:rPr>
            </w:pPr>
            <w:r w:rsidRPr="006D77F9">
              <w:rPr>
                <w:rFonts w:cs="Arial"/>
              </w:rPr>
              <w:t>Original currency</w:t>
            </w:r>
          </w:p>
        </w:tc>
        <w:tc>
          <w:tcPr>
            <w:tcW w:w="5812" w:type="dxa"/>
          </w:tcPr>
          <w:p w:rsidR="006D77F9" w:rsidRPr="006D77F9" w:rsidRDefault="006D77F9" w:rsidP="00336CAD">
            <w:pPr>
              <w:spacing w:after="0"/>
              <w:rPr>
                <w:rFonts w:cs="Arial"/>
                <w:b/>
              </w:rPr>
            </w:pPr>
            <w:r w:rsidRPr="006D77F9">
              <w:rPr>
                <w:rFonts w:cs="Arial"/>
              </w:rPr>
              <w:t>Broker claim reference 1 &amp; 2</w:t>
            </w:r>
          </w:p>
        </w:tc>
      </w:tr>
      <w:tr w:rsidR="006D77F9" w:rsidTr="00805EDA">
        <w:trPr>
          <w:trHeight w:val="247"/>
        </w:trPr>
        <w:tc>
          <w:tcPr>
            <w:tcW w:w="2835" w:type="dxa"/>
          </w:tcPr>
          <w:p w:rsidR="006D77F9" w:rsidRPr="006D77F9" w:rsidRDefault="006D77F9" w:rsidP="00336CAD">
            <w:pPr>
              <w:spacing w:after="0"/>
              <w:rPr>
                <w:rFonts w:cs="Arial"/>
                <w:b/>
              </w:rPr>
            </w:pPr>
            <w:r w:rsidRPr="006D77F9">
              <w:rPr>
                <w:rFonts w:cs="Arial"/>
              </w:rPr>
              <w:t>O/s amount</w:t>
            </w:r>
          </w:p>
        </w:tc>
        <w:tc>
          <w:tcPr>
            <w:tcW w:w="5812" w:type="dxa"/>
          </w:tcPr>
          <w:p w:rsidR="006D77F9" w:rsidRPr="006D77F9" w:rsidRDefault="006D77F9" w:rsidP="00336CAD">
            <w:pPr>
              <w:spacing w:after="0"/>
              <w:rPr>
                <w:rFonts w:cs="Arial"/>
                <w:b/>
              </w:rPr>
            </w:pPr>
            <w:r w:rsidRPr="006D77F9">
              <w:rPr>
                <w:rFonts w:cs="Arial"/>
              </w:rPr>
              <w:t>Interest</w:t>
            </w:r>
          </w:p>
        </w:tc>
      </w:tr>
      <w:tr w:rsidR="006D77F9" w:rsidTr="00805EDA">
        <w:trPr>
          <w:trHeight w:val="247"/>
        </w:trPr>
        <w:tc>
          <w:tcPr>
            <w:tcW w:w="2835" w:type="dxa"/>
          </w:tcPr>
          <w:p w:rsidR="006D77F9" w:rsidRPr="006D77F9" w:rsidRDefault="006D77F9" w:rsidP="00336CAD">
            <w:pPr>
              <w:spacing w:after="0"/>
              <w:rPr>
                <w:rFonts w:cs="Arial"/>
              </w:rPr>
            </w:pPr>
            <w:r w:rsidRPr="006D77F9">
              <w:rPr>
                <w:rFonts w:cs="Arial"/>
              </w:rPr>
              <w:t>O/s qualifier</w:t>
            </w:r>
          </w:p>
        </w:tc>
        <w:tc>
          <w:tcPr>
            <w:tcW w:w="5812" w:type="dxa"/>
          </w:tcPr>
          <w:p w:rsidR="006D77F9" w:rsidRPr="006D77F9" w:rsidRDefault="006D77F9" w:rsidP="00336CAD">
            <w:pPr>
              <w:spacing w:after="0"/>
              <w:rPr>
                <w:rFonts w:cs="Arial"/>
                <w:b/>
              </w:rPr>
            </w:pPr>
            <w:r w:rsidRPr="006D77F9">
              <w:rPr>
                <w:rFonts w:cs="Arial"/>
              </w:rPr>
              <w:t>VAT amount</w:t>
            </w:r>
          </w:p>
        </w:tc>
      </w:tr>
    </w:tbl>
    <w:p w:rsidR="001C3260" w:rsidRDefault="001C3260" w:rsidP="00283F82">
      <w:pPr>
        <w:pStyle w:val="Bullets"/>
        <w:numPr>
          <w:ilvl w:val="0"/>
          <w:numId w:val="0"/>
        </w:numPr>
        <w:rPr>
          <w:rFonts w:cs="Arial"/>
          <w:b/>
          <w:bCs/>
          <w:highlight w:val="yellow"/>
        </w:rPr>
      </w:pPr>
    </w:p>
    <w:p w:rsidR="00870302" w:rsidRPr="00E65CFC" w:rsidRDefault="004C3649" w:rsidP="006D77F9">
      <w:pPr>
        <w:pStyle w:val="Bullets"/>
        <w:numPr>
          <w:ilvl w:val="0"/>
          <w:numId w:val="0"/>
        </w:numPr>
        <w:ind w:left="397" w:hanging="397"/>
        <w:rPr>
          <w:rFonts w:cs="Arial"/>
          <w:b/>
          <w:bCs/>
        </w:rPr>
      </w:pPr>
      <w:r w:rsidRPr="004C3649">
        <w:rPr>
          <w:rFonts w:cs="Arial"/>
          <w:b/>
          <w:bCs/>
        </w:rPr>
        <w:t>Data Errors in editable fields:</w:t>
      </w:r>
    </w:p>
    <w:p w:rsidR="006D77F9" w:rsidRPr="00E65CFC" w:rsidRDefault="004C3649" w:rsidP="006D77F9">
      <w:pPr>
        <w:pStyle w:val="Bullets"/>
        <w:numPr>
          <w:ilvl w:val="0"/>
          <w:numId w:val="0"/>
        </w:numPr>
        <w:ind w:left="397" w:hanging="397"/>
        <w:rPr>
          <w:rFonts w:cs="Arial"/>
          <w:bCs/>
        </w:rPr>
      </w:pPr>
      <w:r w:rsidRPr="004C3649">
        <w:rPr>
          <w:rFonts w:cs="Arial"/>
          <w:bCs/>
        </w:rPr>
        <w:t>XCS will enter a “Seen/Action” response on the CLASS entry as submitted and will annotate the</w:t>
      </w:r>
    </w:p>
    <w:p w:rsidR="006D77F9" w:rsidRPr="00E65CFC" w:rsidRDefault="004C3649" w:rsidP="006D77F9">
      <w:pPr>
        <w:pStyle w:val="Bullets"/>
        <w:numPr>
          <w:ilvl w:val="0"/>
          <w:numId w:val="0"/>
        </w:numPr>
        <w:ind w:left="397" w:hanging="397"/>
        <w:rPr>
          <w:rFonts w:cs="Arial"/>
          <w:bCs/>
        </w:rPr>
      </w:pPr>
      <w:r w:rsidRPr="004C3649">
        <w:rPr>
          <w:rFonts w:cs="Arial"/>
          <w:bCs/>
        </w:rPr>
        <w:t>public comments with requirements for change (e.g. Insured name needs to be corrected to xyz)</w:t>
      </w:r>
    </w:p>
    <w:p w:rsidR="001C3260" w:rsidRPr="00E65CFC" w:rsidRDefault="004C3649" w:rsidP="006D77F9">
      <w:pPr>
        <w:pStyle w:val="Bullets"/>
        <w:numPr>
          <w:ilvl w:val="0"/>
          <w:numId w:val="0"/>
        </w:numPr>
        <w:ind w:left="397" w:hanging="397"/>
        <w:rPr>
          <w:rFonts w:cs="Arial"/>
        </w:rPr>
      </w:pPr>
      <w:r w:rsidRPr="004C3649">
        <w:rPr>
          <w:rFonts w:cs="Arial"/>
          <w:bCs/>
        </w:rPr>
        <w:t>w</w:t>
      </w:r>
      <w:r w:rsidRPr="004C3649">
        <w:rPr>
          <w:rFonts w:cs="Arial"/>
        </w:rPr>
        <w:t xml:space="preserve">hen the error occurs in one of the following fields: </w:t>
      </w:r>
    </w:p>
    <w:tbl>
      <w:tblPr>
        <w:tblStyle w:val="TableGrid"/>
        <w:tblW w:w="0" w:type="auto"/>
        <w:tblInd w:w="108" w:type="dxa"/>
        <w:tblLook w:val="04A0" w:firstRow="1" w:lastRow="0" w:firstColumn="1" w:lastColumn="0" w:noHBand="0" w:noVBand="1"/>
      </w:tblPr>
      <w:tblGrid>
        <w:gridCol w:w="3650"/>
      </w:tblGrid>
      <w:tr w:rsidR="001C3260" w:rsidTr="00F67092">
        <w:trPr>
          <w:trHeight w:val="247"/>
        </w:trPr>
        <w:tc>
          <w:tcPr>
            <w:tcW w:w="3650" w:type="dxa"/>
          </w:tcPr>
          <w:p w:rsidR="001C3260" w:rsidRPr="001C3260" w:rsidRDefault="001C3260" w:rsidP="00336CAD">
            <w:pPr>
              <w:spacing w:after="0"/>
              <w:rPr>
                <w:rFonts w:cs="Arial"/>
              </w:rPr>
            </w:pPr>
            <w:r w:rsidRPr="001C3260">
              <w:rPr>
                <w:rFonts w:cs="Arial"/>
              </w:rPr>
              <w:t>Insured</w:t>
            </w:r>
          </w:p>
        </w:tc>
      </w:tr>
      <w:tr w:rsidR="001C3260" w:rsidTr="00F67092">
        <w:trPr>
          <w:trHeight w:val="260"/>
        </w:trPr>
        <w:tc>
          <w:tcPr>
            <w:tcW w:w="3650" w:type="dxa"/>
          </w:tcPr>
          <w:p w:rsidR="001C3260" w:rsidRPr="001C3260" w:rsidRDefault="001C3260" w:rsidP="00336CAD">
            <w:pPr>
              <w:spacing w:after="0"/>
              <w:rPr>
                <w:rFonts w:cs="Arial"/>
              </w:rPr>
            </w:pPr>
            <w:r w:rsidRPr="001C3260">
              <w:rPr>
                <w:rFonts w:cs="Arial"/>
              </w:rPr>
              <w:t>Policy period from – to</w:t>
            </w:r>
          </w:p>
        </w:tc>
      </w:tr>
      <w:tr w:rsidR="001C3260" w:rsidTr="00F67092">
        <w:trPr>
          <w:trHeight w:val="247"/>
        </w:trPr>
        <w:tc>
          <w:tcPr>
            <w:tcW w:w="3650" w:type="dxa"/>
          </w:tcPr>
          <w:p w:rsidR="001C3260" w:rsidRPr="001C3260" w:rsidRDefault="001C3260" w:rsidP="00336CAD">
            <w:pPr>
              <w:spacing w:after="0"/>
              <w:rPr>
                <w:rFonts w:cs="Arial"/>
              </w:rPr>
            </w:pPr>
            <w:r w:rsidRPr="001C3260">
              <w:rPr>
                <w:rFonts w:cs="Arial"/>
              </w:rPr>
              <w:t>Cert period from – to</w:t>
            </w:r>
          </w:p>
        </w:tc>
      </w:tr>
      <w:tr w:rsidR="001C3260" w:rsidTr="00F67092">
        <w:trPr>
          <w:trHeight w:val="260"/>
        </w:trPr>
        <w:tc>
          <w:tcPr>
            <w:tcW w:w="3650" w:type="dxa"/>
          </w:tcPr>
          <w:p w:rsidR="001C3260" w:rsidRPr="001C3260" w:rsidRDefault="001C3260" w:rsidP="00336CAD">
            <w:pPr>
              <w:spacing w:after="0"/>
              <w:rPr>
                <w:rFonts w:cs="Arial"/>
              </w:rPr>
            </w:pPr>
            <w:r w:rsidRPr="001C3260">
              <w:rPr>
                <w:rFonts w:cs="Arial"/>
              </w:rPr>
              <w:t>DOL from – to</w:t>
            </w:r>
          </w:p>
        </w:tc>
      </w:tr>
      <w:tr w:rsidR="001C3260" w:rsidTr="00F67092">
        <w:trPr>
          <w:trHeight w:val="260"/>
        </w:trPr>
        <w:tc>
          <w:tcPr>
            <w:tcW w:w="3650" w:type="dxa"/>
          </w:tcPr>
          <w:p w:rsidR="001C3260" w:rsidRPr="001C3260" w:rsidRDefault="001C3260" w:rsidP="00336CAD">
            <w:pPr>
              <w:spacing w:after="0"/>
              <w:rPr>
                <w:rFonts w:cs="Arial"/>
              </w:rPr>
            </w:pPr>
            <w:r w:rsidRPr="001C3260">
              <w:rPr>
                <w:rFonts w:cs="Arial"/>
              </w:rPr>
              <w:t>Reinsured</w:t>
            </w:r>
          </w:p>
        </w:tc>
      </w:tr>
      <w:tr w:rsidR="001C3260" w:rsidTr="00F67092">
        <w:trPr>
          <w:trHeight w:val="247"/>
        </w:trPr>
        <w:tc>
          <w:tcPr>
            <w:tcW w:w="3650" w:type="dxa"/>
          </w:tcPr>
          <w:p w:rsidR="001C3260" w:rsidRPr="001C3260" w:rsidRDefault="001C3260" w:rsidP="00336CAD">
            <w:pPr>
              <w:spacing w:after="0"/>
              <w:rPr>
                <w:rFonts w:cs="Arial"/>
              </w:rPr>
            </w:pPr>
            <w:r w:rsidRPr="001C3260">
              <w:rPr>
                <w:rFonts w:cs="Arial"/>
              </w:rPr>
              <w:t>Original Insured</w:t>
            </w:r>
          </w:p>
        </w:tc>
      </w:tr>
      <w:tr w:rsidR="001C3260" w:rsidTr="00F67092">
        <w:trPr>
          <w:trHeight w:val="260"/>
        </w:trPr>
        <w:tc>
          <w:tcPr>
            <w:tcW w:w="3650" w:type="dxa"/>
          </w:tcPr>
          <w:p w:rsidR="001C3260" w:rsidRPr="001C3260" w:rsidRDefault="001C3260" w:rsidP="00336CAD">
            <w:pPr>
              <w:spacing w:after="0"/>
              <w:rPr>
                <w:rFonts w:cs="Arial"/>
              </w:rPr>
            </w:pPr>
            <w:r w:rsidRPr="001C3260">
              <w:rPr>
                <w:rFonts w:cs="Arial"/>
              </w:rPr>
              <w:t>SI Limits</w:t>
            </w:r>
          </w:p>
        </w:tc>
      </w:tr>
      <w:tr w:rsidR="001C3260" w:rsidTr="00F67092">
        <w:trPr>
          <w:trHeight w:val="260"/>
        </w:trPr>
        <w:tc>
          <w:tcPr>
            <w:tcW w:w="3650" w:type="dxa"/>
          </w:tcPr>
          <w:p w:rsidR="001C3260" w:rsidRPr="001C3260" w:rsidRDefault="001C3260" w:rsidP="00336CAD">
            <w:pPr>
              <w:spacing w:after="0"/>
              <w:rPr>
                <w:rFonts w:cs="Arial"/>
              </w:rPr>
            </w:pPr>
            <w:r w:rsidRPr="001C3260">
              <w:rPr>
                <w:rFonts w:cs="Arial"/>
              </w:rPr>
              <w:t>SI Currency</w:t>
            </w:r>
          </w:p>
        </w:tc>
      </w:tr>
      <w:tr w:rsidR="001C3260" w:rsidTr="00F67092">
        <w:trPr>
          <w:trHeight w:val="260"/>
        </w:trPr>
        <w:tc>
          <w:tcPr>
            <w:tcW w:w="3650" w:type="dxa"/>
          </w:tcPr>
          <w:p w:rsidR="001C3260" w:rsidRPr="001C3260" w:rsidRDefault="001C3260" w:rsidP="00336CAD">
            <w:pPr>
              <w:spacing w:after="0"/>
              <w:rPr>
                <w:rFonts w:cs="Arial"/>
              </w:rPr>
            </w:pPr>
            <w:r w:rsidRPr="001C3260">
              <w:rPr>
                <w:rFonts w:cs="Arial"/>
              </w:rPr>
              <w:t>Excess</w:t>
            </w:r>
          </w:p>
        </w:tc>
      </w:tr>
    </w:tbl>
    <w:p w:rsidR="008D2CC0" w:rsidRDefault="008D2CC0" w:rsidP="006D77F9">
      <w:pPr>
        <w:pStyle w:val="Bullets"/>
        <w:numPr>
          <w:ilvl w:val="0"/>
          <w:numId w:val="0"/>
        </w:numPr>
        <w:rPr>
          <w:rFonts w:cs="Arial"/>
          <w:bCs/>
          <w:highlight w:val="yellow"/>
        </w:rPr>
      </w:pPr>
    </w:p>
    <w:p w:rsidR="001C3260" w:rsidRPr="005D3703" w:rsidRDefault="004C3649" w:rsidP="008D2CC0">
      <w:pPr>
        <w:pStyle w:val="Bullets"/>
        <w:numPr>
          <w:ilvl w:val="0"/>
          <w:numId w:val="0"/>
        </w:numPr>
        <w:rPr>
          <w:rFonts w:cs="Arial"/>
          <w:bCs/>
        </w:rPr>
      </w:pPr>
      <w:r w:rsidRPr="004C3649">
        <w:rPr>
          <w:rFonts w:cs="Arial"/>
          <w:bCs/>
        </w:rPr>
        <w:t xml:space="preserve">For all other data errors, XCS would view subsequent sequences which have not been amended on a discretionary basis and would generally enter a response of “Seen/Action” on subsequent advices but would continue to annotate the Public comments with a request that the broker amend at next sequence. </w:t>
      </w:r>
    </w:p>
    <w:p w:rsidR="008D2CC0" w:rsidRPr="005D3703" w:rsidRDefault="008D2CC0" w:rsidP="008D2CC0">
      <w:pPr>
        <w:pStyle w:val="Bullets"/>
        <w:numPr>
          <w:ilvl w:val="0"/>
          <w:numId w:val="0"/>
        </w:numPr>
        <w:rPr>
          <w:rFonts w:cs="Arial"/>
          <w:bCs/>
        </w:rPr>
      </w:pPr>
    </w:p>
    <w:p w:rsidR="00870302" w:rsidRPr="005D3703" w:rsidRDefault="004C3649" w:rsidP="008D2CC0">
      <w:pPr>
        <w:pStyle w:val="Bullets"/>
        <w:numPr>
          <w:ilvl w:val="0"/>
          <w:numId w:val="0"/>
        </w:numPr>
        <w:rPr>
          <w:rFonts w:cs="Arial"/>
          <w:bCs/>
        </w:rPr>
      </w:pPr>
      <w:r w:rsidRPr="004C3649">
        <w:rPr>
          <w:rFonts w:cs="Arial"/>
          <w:bCs/>
        </w:rPr>
        <w:t>The fields which, if not corrected on subsequent sequences, would most likely lead to being “Queried” are: Loss Name, Narrative, Location, Vessel/Aircraft, Lawyer, and Adjuster.</w:t>
      </w:r>
    </w:p>
    <w:p w:rsidR="00B24D97" w:rsidRPr="00805EDA" w:rsidRDefault="00B24D97" w:rsidP="00805EDA">
      <w:pPr>
        <w:pStyle w:val="Heading4"/>
      </w:pPr>
      <w:bookmarkStart w:id="199" w:name="WorkflowAdditionalAPs"/>
      <w:bookmarkStart w:id="200" w:name="_Toc112226840"/>
      <w:bookmarkStart w:id="201" w:name="_Toc389214833"/>
      <w:bookmarkEnd w:id="199"/>
      <w:r w:rsidRPr="00805EDA">
        <w:t>Direct Reporting</w:t>
      </w:r>
      <w:bookmarkEnd w:id="200"/>
      <w:bookmarkEnd w:id="201"/>
    </w:p>
    <w:p w:rsidR="00B24D97" w:rsidRPr="00D64309" w:rsidRDefault="00B24D97" w:rsidP="004A3BA4">
      <w:pPr>
        <w:rPr>
          <w:rFonts w:cs="Arial"/>
        </w:rPr>
      </w:pPr>
      <w:r w:rsidRPr="00D64309">
        <w:rPr>
          <w:rFonts w:cs="Arial"/>
        </w:rPr>
        <w:t>In this instance, a direct report is defined as any document supplied by a third-party that is NOT confidential, i.e. access to the document may be shared with the broker.</w:t>
      </w:r>
    </w:p>
    <w:p w:rsidR="00B24D97" w:rsidRDefault="00B24D97" w:rsidP="004A3BA4">
      <w:pPr>
        <w:rPr>
          <w:rFonts w:cs="Arial"/>
        </w:rPr>
      </w:pPr>
      <w:r w:rsidRPr="00D64309">
        <w:rPr>
          <w:rFonts w:cs="Arial"/>
        </w:rPr>
        <w:t xml:space="preserve">The Lead Agreement Party must ensure that any documents, including direct reports, supplied by a third party are made available to all appropriate carriers and XCS; this may be done, for example, by loading the documents to the IMR and classifying them appropriately. In order for a corresponding CLASS message to accompany the document, the Lead Agreement Party must pass the document to the broker to load accordingly. If however, the direct report is confidential; it should follow the confidential reports process defined in </w:t>
      </w:r>
      <w:r w:rsidRPr="000E187E">
        <w:rPr>
          <w:rFonts w:cs="Arial"/>
        </w:rPr>
        <w:t xml:space="preserve">section </w:t>
      </w:r>
      <w:hyperlink w:anchor="_Confidential_Reports" w:history="1">
        <w:r w:rsidR="000E187E" w:rsidRPr="000E187E">
          <w:rPr>
            <w:rStyle w:val="Hyperlink"/>
          </w:rPr>
          <w:t>2.5.3</w:t>
        </w:r>
      </w:hyperlink>
      <w:r w:rsidRPr="00D64309">
        <w:rPr>
          <w:rFonts w:cs="Arial"/>
        </w:rPr>
        <w:t xml:space="preserve"> Note that if the broker is unwilling to load the direct report and corresponding CLASS transaction, or there is no requirement for the broker to do so; the confidential reports process may be used to alert carriers and XCS instead.</w:t>
      </w:r>
    </w:p>
    <w:p w:rsidR="00B24D97" w:rsidRPr="00805EDA" w:rsidRDefault="00B24D97" w:rsidP="00530CF8">
      <w:pPr>
        <w:pStyle w:val="Heading2"/>
      </w:pPr>
      <w:bookmarkStart w:id="202" w:name="_Toc253580230"/>
      <w:bookmarkStart w:id="203" w:name="_Toc253755042"/>
      <w:bookmarkStart w:id="204" w:name="_Toc112226842"/>
      <w:bookmarkStart w:id="205" w:name="_Toc134427291"/>
      <w:bookmarkStart w:id="206" w:name="_Toc142277050"/>
      <w:bookmarkStart w:id="207" w:name="_Toc389214834"/>
      <w:bookmarkStart w:id="208" w:name="_Toc396989158"/>
      <w:bookmarkEnd w:id="202"/>
      <w:bookmarkEnd w:id="203"/>
      <w:r w:rsidRPr="00805EDA">
        <w:lastRenderedPageBreak/>
        <w:t>Overrides and Exceptions</w:t>
      </w:r>
      <w:bookmarkEnd w:id="204"/>
      <w:bookmarkEnd w:id="205"/>
      <w:bookmarkEnd w:id="206"/>
      <w:bookmarkEnd w:id="207"/>
      <w:bookmarkEnd w:id="208"/>
    </w:p>
    <w:p w:rsidR="00B24D97" w:rsidRPr="00805EDA" w:rsidRDefault="00B24D97" w:rsidP="00530CF8">
      <w:pPr>
        <w:pStyle w:val="Heading3"/>
      </w:pPr>
      <w:bookmarkStart w:id="209" w:name="ConfOfInt"/>
      <w:bookmarkStart w:id="210" w:name="_Toc112226843"/>
      <w:bookmarkStart w:id="211" w:name="_Toc389214835"/>
      <w:bookmarkStart w:id="212" w:name="_Toc396989159"/>
      <w:bookmarkEnd w:id="209"/>
      <w:r w:rsidRPr="00805EDA">
        <w:t>Conflict of Interest</w:t>
      </w:r>
      <w:bookmarkEnd w:id="210"/>
      <w:r w:rsidRPr="00805EDA">
        <w:t>s</w:t>
      </w:r>
      <w:bookmarkEnd w:id="211"/>
      <w:bookmarkEnd w:id="212"/>
    </w:p>
    <w:p w:rsidR="00B24D97" w:rsidRPr="00D64309" w:rsidRDefault="00B24D97" w:rsidP="00D46149">
      <w:pPr>
        <w:rPr>
          <w:rFonts w:cs="Arial"/>
          <w:b/>
        </w:rPr>
      </w:pPr>
      <w:r w:rsidRPr="00D64309">
        <w:rPr>
          <w:rFonts w:cs="Arial"/>
          <w:b/>
        </w:rPr>
        <w:t>It is the Managing Agent’s or the individual’s responsibility to manage their own conflict of interest.</w:t>
      </w:r>
    </w:p>
    <w:p w:rsidR="00B24D97" w:rsidRDefault="00B24D97" w:rsidP="00D46149">
      <w:pPr>
        <w:rPr>
          <w:rFonts w:cs="Arial"/>
        </w:rPr>
      </w:pPr>
      <w:r w:rsidRPr="00D64309">
        <w:rPr>
          <w:rFonts w:cs="Arial"/>
        </w:rPr>
        <w:t xml:space="preserve">The handling of conflicts of interest within ECF is supported to differing degrees depending upon who is declaring the conflict. Conflicts can be declared by organisations or individuals, Lead Agreement Parties, other Agreement Parties, XCS and followers. A conflict of interest can be declared or removed at any time. Any party may declare a conflict of interest, but it can only be ended by the organisation’s authorised system administrator for individual conflicts or by contacting Xchanging for organisation level conflicts. </w:t>
      </w:r>
    </w:p>
    <w:p w:rsidR="00F67092" w:rsidRPr="00F67092" w:rsidRDefault="00F67092" w:rsidP="00D46149">
      <w:pPr>
        <w:rPr>
          <w:rFonts w:cs="Arial"/>
          <w:b/>
        </w:rPr>
      </w:pPr>
      <w:r w:rsidRPr="00F67092">
        <w:rPr>
          <w:rFonts w:cs="Arial"/>
          <w:b/>
        </w:rPr>
        <w:t>CAS – Declare a conflict of Interest within Claim Summary</w:t>
      </w:r>
    </w:p>
    <w:p w:rsidR="00B24D97" w:rsidRPr="00D64309" w:rsidRDefault="00F67092" w:rsidP="00D46149">
      <w:pPr>
        <w:rPr>
          <w:rFonts w:cs="Arial"/>
        </w:rPr>
      </w:pPr>
      <w:r w:rsidRPr="00F67092">
        <w:rPr>
          <w:rFonts w:cs="Arial"/>
          <w:noProof/>
          <w:lang w:eastAsia="en-GB"/>
        </w:rPr>
        <w:drawing>
          <wp:inline distT="0" distB="0" distL="0" distR="0" wp14:anchorId="3611040B" wp14:editId="45D4E1DA">
            <wp:extent cx="5730875" cy="2143125"/>
            <wp:effectExtent l="0" t="0" r="317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875" cy="2143125"/>
                    </a:xfrm>
                    <a:prstGeom prst="rect">
                      <a:avLst/>
                    </a:prstGeom>
                    <a:noFill/>
                    <a:ln>
                      <a:noFill/>
                    </a:ln>
                  </pic:spPr>
                </pic:pic>
              </a:graphicData>
            </a:graphic>
          </wp:inline>
        </w:drawing>
      </w:r>
    </w:p>
    <w:p w:rsidR="00F67092" w:rsidRPr="00F67092" w:rsidRDefault="00F67092" w:rsidP="00D46149">
      <w:pPr>
        <w:rPr>
          <w:rFonts w:cs="Arial"/>
          <w:b/>
        </w:rPr>
      </w:pPr>
      <w:r w:rsidRPr="00F67092">
        <w:rPr>
          <w:rFonts w:cs="Arial"/>
          <w:b/>
        </w:rPr>
        <w:t>CWS – Declare a Conflict of Interest</w:t>
      </w:r>
    </w:p>
    <w:p w:rsidR="00354BF8" w:rsidRDefault="002650ED" w:rsidP="00D46149">
      <w:pPr>
        <w:rPr>
          <w:rFonts w:cs="Arial"/>
        </w:rPr>
      </w:pPr>
      <w:r>
        <w:rPr>
          <w:rFonts w:cs="Arial"/>
          <w:iCs/>
          <w:noProof/>
          <w:sz w:val="22"/>
          <w:szCs w:val="22"/>
          <w:lang w:eastAsia="en-GB"/>
        </w:rPr>
        <w:drawing>
          <wp:inline distT="0" distB="0" distL="0" distR="0" wp14:anchorId="12E94975" wp14:editId="1AB3B824">
            <wp:extent cx="5657850" cy="3857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6E53.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57436" cy="3857343"/>
                    </a:xfrm>
                    <a:prstGeom prst="rect">
                      <a:avLst/>
                    </a:prstGeom>
                  </pic:spPr>
                </pic:pic>
              </a:graphicData>
            </a:graphic>
          </wp:inline>
        </w:drawing>
      </w:r>
    </w:p>
    <w:p w:rsidR="00F67092" w:rsidRDefault="00F67092" w:rsidP="00F67092">
      <w:pPr>
        <w:rPr>
          <w:noProof/>
          <w:lang w:eastAsia="en-GB"/>
        </w:rPr>
      </w:pPr>
      <w:r w:rsidRPr="00D64309">
        <w:rPr>
          <w:rFonts w:cs="Arial"/>
        </w:rPr>
        <w:lastRenderedPageBreak/>
        <w:t>The following table shows which of the below procedures different parties should choose in order to declare a conflict of interest (</w:t>
      </w:r>
      <w:r w:rsidRPr="00D64309">
        <w:rPr>
          <w:rFonts w:cs="Arial"/>
          <w:b/>
        </w:rPr>
        <w:t>note that an audit trail of authorisation and actions must be maintained</w:t>
      </w:r>
      <w:r w:rsidRPr="00D64309">
        <w:rPr>
          <w:rFonts w:cs="Arial"/>
        </w:rPr>
        <w:t>):</w:t>
      </w:r>
      <w:r w:rsidRPr="00F67092">
        <w:rPr>
          <w:noProof/>
          <w:lang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2228"/>
        <w:gridCol w:w="2228"/>
        <w:gridCol w:w="2229"/>
      </w:tblGrid>
      <w:tr w:rsidR="00B24D97" w:rsidRPr="00D64309" w:rsidTr="00F870EC">
        <w:trPr>
          <w:trHeight w:val="444"/>
          <w:jc w:val="center"/>
        </w:trPr>
        <w:tc>
          <w:tcPr>
            <w:tcW w:w="2228" w:type="dxa"/>
            <w:tcBorders>
              <w:top w:val="nil"/>
              <w:left w:val="nil"/>
              <w:bottom w:val="single" w:sz="12" w:space="0" w:color="auto"/>
              <w:right w:val="single" w:sz="12" w:space="0" w:color="auto"/>
            </w:tcBorders>
            <w:vAlign w:val="center"/>
          </w:tcPr>
          <w:p w:rsidR="00B24D97" w:rsidRPr="00D64309" w:rsidRDefault="00B24D97" w:rsidP="00F870EC">
            <w:pPr>
              <w:jc w:val="center"/>
              <w:rPr>
                <w:rFonts w:cs="Arial"/>
                <w:b/>
              </w:rPr>
            </w:pPr>
          </w:p>
        </w:tc>
        <w:tc>
          <w:tcPr>
            <w:tcW w:w="6685" w:type="dxa"/>
            <w:gridSpan w:val="3"/>
            <w:tcBorders>
              <w:top w:val="single" w:sz="12" w:space="0" w:color="auto"/>
              <w:left w:val="single" w:sz="12" w:space="0" w:color="auto"/>
              <w:bottom w:val="nil"/>
              <w:right w:val="single" w:sz="12" w:space="0" w:color="auto"/>
            </w:tcBorders>
            <w:shd w:val="clear" w:color="auto" w:fill="C0C0C0"/>
            <w:vAlign w:val="center"/>
          </w:tcPr>
          <w:p w:rsidR="00B24D97" w:rsidRPr="00D64309" w:rsidRDefault="00B24D97" w:rsidP="00805EDA">
            <w:pPr>
              <w:spacing w:before="120" w:after="120"/>
              <w:jc w:val="center"/>
              <w:rPr>
                <w:rFonts w:cs="Arial"/>
                <w:b/>
              </w:rPr>
            </w:pPr>
            <w:r w:rsidRPr="00D64309">
              <w:rPr>
                <w:rFonts w:cs="Arial"/>
                <w:b/>
              </w:rPr>
              <w:t>LEVEL AT WHICH CONFLICT DECLARED</w:t>
            </w:r>
          </w:p>
        </w:tc>
      </w:tr>
      <w:tr w:rsidR="00B24D97" w:rsidRPr="00D64309" w:rsidTr="00F870EC">
        <w:trPr>
          <w:trHeight w:val="444"/>
          <w:jc w:val="center"/>
        </w:trPr>
        <w:tc>
          <w:tcPr>
            <w:tcW w:w="2228" w:type="dxa"/>
            <w:tcBorders>
              <w:top w:val="single" w:sz="12" w:space="0" w:color="auto"/>
              <w:left w:val="single" w:sz="12" w:space="0" w:color="auto"/>
              <w:right w:val="single" w:sz="12" w:space="0" w:color="auto"/>
            </w:tcBorders>
            <w:shd w:val="clear" w:color="auto" w:fill="C0C0C0"/>
            <w:vAlign w:val="center"/>
          </w:tcPr>
          <w:p w:rsidR="00B24D97" w:rsidRPr="00D64309" w:rsidRDefault="00B24D97" w:rsidP="00805EDA">
            <w:pPr>
              <w:spacing w:before="120" w:after="120"/>
              <w:jc w:val="center"/>
              <w:rPr>
                <w:rFonts w:cs="Arial"/>
                <w:b/>
              </w:rPr>
            </w:pPr>
            <w:r w:rsidRPr="00D64309">
              <w:rPr>
                <w:rFonts w:cs="Arial"/>
                <w:b/>
              </w:rPr>
              <w:t>ROLE OF PARTY</w:t>
            </w:r>
          </w:p>
        </w:tc>
        <w:tc>
          <w:tcPr>
            <w:tcW w:w="2228" w:type="dxa"/>
            <w:tcBorders>
              <w:top w:val="nil"/>
              <w:left w:val="single" w:sz="12" w:space="0" w:color="auto"/>
              <w:bottom w:val="single" w:sz="12" w:space="0" w:color="auto"/>
            </w:tcBorders>
            <w:shd w:val="clear" w:color="auto" w:fill="C0C0C0"/>
            <w:vAlign w:val="center"/>
          </w:tcPr>
          <w:p w:rsidR="00B24D97" w:rsidRPr="00D64309" w:rsidRDefault="00B24D97" w:rsidP="00805EDA">
            <w:pPr>
              <w:spacing w:before="120" w:after="120"/>
              <w:jc w:val="left"/>
              <w:rPr>
                <w:rFonts w:cs="Arial"/>
                <w:b/>
              </w:rPr>
            </w:pPr>
            <w:r w:rsidRPr="00D64309">
              <w:rPr>
                <w:rFonts w:cs="Arial"/>
                <w:b/>
              </w:rPr>
              <w:t>Syndicate / XCS department</w:t>
            </w:r>
          </w:p>
        </w:tc>
        <w:tc>
          <w:tcPr>
            <w:tcW w:w="2228" w:type="dxa"/>
            <w:tcBorders>
              <w:top w:val="nil"/>
              <w:bottom w:val="single" w:sz="12" w:space="0" w:color="auto"/>
            </w:tcBorders>
            <w:shd w:val="clear" w:color="auto" w:fill="C0C0C0"/>
            <w:vAlign w:val="center"/>
          </w:tcPr>
          <w:p w:rsidR="00B24D97" w:rsidRPr="00D64309" w:rsidRDefault="00B24D97" w:rsidP="00805EDA">
            <w:pPr>
              <w:spacing w:before="120" w:after="120"/>
              <w:jc w:val="left"/>
              <w:rPr>
                <w:rFonts w:cs="Arial"/>
                <w:b/>
              </w:rPr>
            </w:pPr>
            <w:r w:rsidRPr="00D64309">
              <w:rPr>
                <w:rFonts w:cs="Arial"/>
                <w:b/>
              </w:rPr>
              <w:t>Managing agency / Organisation</w:t>
            </w:r>
          </w:p>
        </w:tc>
        <w:tc>
          <w:tcPr>
            <w:tcW w:w="2229" w:type="dxa"/>
            <w:tcBorders>
              <w:top w:val="nil"/>
              <w:bottom w:val="single" w:sz="12" w:space="0" w:color="auto"/>
              <w:right w:val="single" w:sz="12" w:space="0" w:color="auto"/>
            </w:tcBorders>
            <w:shd w:val="clear" w:color="auto" w:fill="C0C0C0"/>
            <w:vAlign w:val="center"/>
          </w:tcPr>
          <w:p w:rsidR="00B24D97" w:rsidRPr="00D64309" w:rsidRDefault="00B24D97" w:rsidP="00805EDA">
            <w:pPr>
              <w:spacing w:before="120" w:after="120"/>
              <w:jc w:val="left"/>
              <w:rPr>
                <w:rFonts w:cs="Arial"/>
                <w:b/>
              </w:rPr>
            </w:pPr>
            <w:r w:rsidRPr="00D64309">
              <w:rPr>
                <w:rFonts w:cs="Arial"/>
                <w:b/>
              </w:rPr>
              <w:t>Individual adjuster</w:t>
            </w:r>
          </w:p>
        </w:tc>
      </w:tr>
      <w:tr w:rsidR="00B24D97" w:rsidRPr="00D64309" w:rsidTr="00F870EC">
        <w:trPr>
          <w:trHeight w:val="444"/>
          <w:jc w:val="center"/>
        </w:trPr>
        <w:tc>
          <w:tcPr>
            <w:tcW w:w="2228" w:type="dxa"/>
            <w:tcBorders>
              <w:left w:val="single" w:sz="12" w:space="0" w:color="auto"/>
              <w:right w:val="single" w:sz="12" w:space="0" w:color="auto"/>
            </w:tcBorders>
            <w:shd w:val="clear" w:color="auto" w:fill="C0C0C0"/>
            <w:vAlign w:val="center"/>
          </w:tcPr>
          <w:p w:rsidR="00B24D97" w:rsidRPr="00D64309" w:rsidRDefault="00B24D97" w:rsidP="00805EDA">
            <w:pPr>
              <w:spacing w:before="120" w:after="120"/>
              <w:jc w:val="left"/>
              <w:rPr>
                <w:rFonts w:cs="Arial"/>
                <w:b/>
              </w:rPr>
            </w:pPr>
            <w:r w:rsidRPr="00D64309">
              <w:rPr>
                <w:rFonts w:cs="Arial"/>
                <w:b/>
              </w:rPr>
              <w:t>Lead Agreement Party</w:t>
            </w:r>
          </w:p>
        </w:tc>
        <w:tc>
          <w:tcPr>
            <w:tcW w:w="2228" w:type="dxa"/>
            <w:tcBorders>
              <w:top w:val="single" w:sz="12" w:space="0" w:color="auto"/>
              <w:left w:val="single" w:sz="12" w:space="0" w:color="auto"/>
            </w:tcBorders>
            <w:vAlign w:val="center"/>
          </w:tcPr>
          <w:p w:rsidR="00B24D97" w:rsidRPr="00D64309" w:rsidRDefault="00B24D97" w:rsidP="00805EDA">
            <w:pPr>
              <w:spacing w:before="120" w:after="120"/>
              <w:jc w:val="center"/>
              <w:rPr>
                <w:rFonts w:cs="Arial"/>
              </w:rPr>
            </w:pPr>
            <w:r w:rsidRPr="00D64309">
              <w:rPr>
                <w:rFonts w:cs="Arial"/>
              </w:rPr>
              <w:t>Procedure 1</w:t>
            </w:r>
          </w:p>
        </w:tc>
        <w:tc>
          <w:tcPr>
            <w:tcW w:w="2228" w:type="dxa"/>
            <w:tcBorders>
              <w:top w:val="single" w:sz="12" w:space="0" w:color="auto"/>
            </w:tcBorders>
            <w:vAlign w:val="center"/>
          </w:tcPr>
          <w:p w:rsidR="00B24D97" w:rsidRPr="00D64309" w:rsidRDefault="00B24D97" w:rsidP="00805EDA">
            <w:pPr>
              <w:spacing w:before="120" w:after="120"/>
              <w:jc w:val="left"/>
              <w:rPr>
                <w:rFonts w:cs="Arial"/>
              </w:rPr>
            </w:pPr>
            <w:r w:rsidRPr="00D64309">
              <w:rPr>
                <w:rFonts w:cs="Arial"/>
              </w:rPr>
              <w:t>Repeat Procedure 1 for all syndicates within the Managing agency</w:t>
            </w:r>
          </w:p>
        </w:tc>
        <w:tc>
          <w:tcPr>
            <w:tcW w:w="2229" w:type="dxa"/>
            <w:tcBorders>
              <w:top w:val="single" w:sz="12" w:space="0" w:color="auto"/>
              <w:right w:val="single" w:sz="12" w:space="0" w:color="auto"/>
            </w:tcBorders>
            <w:vAlign w:val="center"/>
          </w:tcPr>
          <w:p w:rsidR="00B24D97" w:rsidRPr="00D64309" w:rsidRDefault="00B24D97" w:rsidP="00805EDA">
            <w:pPr>
              <w:spacing w:before="120" w:after="120"/>
              <w:jc w:val="center"/>
              <w:rPr>
                <w:rFonts w:cs="Arial"/>
              </w:rPr>
            </w:pPr>
            <w:r w:rsidRPr="00D64309">
              <w:rPr>
                <w:rFonts w:cs="Arial"/>
              </w:rPr>
              <w:t>Procedure 4</w:t>
            </w:r>
          </w:p>
        </w:tc>
      </w:tr>
      <w:tr w:rsidR="00B24D97" w:rsidRPr="00D64309" w:rsidTr="00F870EC">
        <w:trPr>
          <w:trHeight w:val="444"/>
          <w:jc w:val="center"/>
        </w:trPr>
        <w:tc>
          <w:tcPr>
            <w:tcW w:w="2228" w:type="dxa"/>
            <w:tcBorders>
              <w:left w:val="single" w:sz="12" w:space="0" w:color="auto"/>
              <w:right w:val="single" w:sz="12" w:space="0" w:color="auto"/>
            </w:tcBorders>
            <w:shd w:val="clear" w:color="auto" w:fill="C0C0C0"/>
            <w:vAlign w:val="center"/>
          </w:tcPr>
          <w:p w:rsidR="00B24D97" w:rsidRPr="00D64309" w:rsidRDefault="00B24D97" w:rsidP="00805EDA">
            <w:pPr>
              <w:spacing w:before="120" w:after="120"/>
              <w:jc w:val="left"/>
              <w:rPr>
                <w:rFonts w:cs="Arial"/>
                <w:b/>
              </w:rPr>
            </w:pPr>
            <w:r w:rsidRPr="00D64309">
              <w:rPr>
                <w:rFonts w:cs="Arial"/>
                <w:b/>
              </w:rPr>
              <w:t>Other Agreement Party</w:t>
            </w:r>
          </w:p>
        </w:tc>
        <w:tc>
          <w:tcPr>
            <w:tcW w:w="2228" w:type="dxa"/>
            <w:tcBorders>
              <w:left w:val="single" w:sz="12" w:space="0" w:color="auto"/>
            </w:tcBorders>
            <w:vAlign w:val="center"/>
          </w:tcPr>
          <w:p w:rsidR="00B24D97" w:rsidRPr="00D64309" w:rsidRDefault="00B24D97" w:rsidP="00805EDA">
            <w:pPr>
              <w:spacing w:before="120" w:after="120"/>
              <w:jc w:val="center"/>
              <w:rPr>
                <w:rFonts w:cs="Arial"/>
              </w:rPr>
            </w:pPr>
            <w:r w:rsidRPr="00D64309">
              <w:rPr>
                <w:rFonts w:cs="Arial"/>
              </w:rPr>
              <w:t>Procedure 2</w:t>
            </w:r>
          </w:p>
        </w:tc>
        <w:tc>
          <w:tcPr>
            <w:tcW w:w="2228" w:type="dxa"/>
            <w:vAlign w:val="center"/>
          </w:tcPr>
          <w:p w:rsidR="00B24D97" w:rsidRPr="00D64309" w:rsidRDefault="00B24D97" w:rsidP="00805EDA">
            <w:pPr>
              <w:spacing w:before="120" w:after="120"/>
              <w:jc w:val="left"/>
              <w:rPr>
                <w:rFonts w:cs="Arial"/>
              </w:rPr>
            </w:pPr>
            <w:r w:rsidRPr="00D64309">
              <w:rPr>
                <w:rFonts w:cs="Arial"/>
              </w:rPr>
              <w:t>Repeat Procedure 2 for all syndicates within the Managing agency</w:t>
            </w:r>
          </w:p>
        </w:tc>
        <w:tc>
          <w:tcPr>
            <w:tcW w:w="2229" w:type="dxa"/>
            <w:tcBorders>
              <w:right w:val="single" w:sz="12" w:space="0" w:color="auto"/>
            </w:tcBorders>
            <w:vAlign w:val="center"/>
          </w:tcPr>
          <w:p w:rsidR="00B24D97" w:rsidRPr="00D64309" w:rsidRDefault="00B24D97" w:rsidP="00805EDA">
            <w:pPr>
              <w:spacing w:before="120" w:after="120"/>
              <w:jc w:val="center"/>
              <w:rPr>
                <w:rFonts w:cs="Arial"/>
              </w:rPr>
            </w:pPr>
            <w:r w:rsidRPr="00D64309">
              <w:rPr>
                <w:rFonts w:cs="Arial"/>
              </w:rPr>
              <w:t>Procedure 4</w:t>
            </w:r>
          </w:p>
        </w:tc>
      </w:tr>
      <w:tr w:rsidR="00B24D97" w:rsidRPr="00D64309" w:rsidTr="00F870EC">
        <w:trPr>
          <w:trHeight w:val="444"/>
          <w:jc w:val="center"/>
        </w:trPr>
        <w:tc>
          <w:tcPr>
            <w:tcW w:w="2228" w:type="dxa"/>
            <w:tcBorders>
              <w:left w:val="single" w:sz="12" w:space="0" w:color="auto"/>
              <w:right w:val="single" w:sz="12" w:space="0" w:color="auto"/>
            </w:tcBorders>
            <w:shd w:val="clear" w:color="auto" w:fill="C0C0C0"/>
            <w:vAlign w:val="center"/>
          </w:tcPr>
          <w:p w:rsidR="00B24D97" w:rsidRPr="00D64309" w:rsidRDefault="00B24D97" w:rsidP="00805EDA">
            <w:pPr>
              <w:spacing w:before="120" w:after="120"/>
              <w:jc w:val="left"/>
              <w:rPr>
                <w:rFonts w:cs="Arial"/>
                <w:b/>
              </w:rPr>
            </w:pPr>
            <w:r w:rsidRPr="00D64309">
              <w:rPr>
                <w:rFonts w:cs="Arial"/>
                <w:b/>
              </w:rPr>
              <w:t>Following underwriter</w:t>
            </w:r>
          </w:p>
        </w:tc>
        <w:tc>
          <w:tcPr>
            <w:tcW w:w="2228" w:type="dxa"/>
            <w:tcBorders>
              <w:left w:val="single" w:sz="12" w:space="0" w:color="auto"/>
            </w:tcBorders>
            <w:vAlign w:val="center"/>
          </w:tcPr>
          <w:p w:rsidR="00B24D97" w:rsidRPr="00D64309" w:rsidRDefault="00B24D97" w:rsidP="00805EDA">
            <w:pPr>
              <w:spacing w:before="120" w:after="120"/>
              <w:jc w:val="center"/>
              <w:rPr>
                <w:rFonts w:cs="Arial"/>
              </w:rPr>
            </w:pPr>
            <w:r w:rsidRPr="00D64309">
              <w:rPr>
                <w:rFonts w:cs="Arial"/>
              </w:rPr>
              <w:t>Procedure 3</w:t>
            </w:r>
          </w:p>
        </w:tc>
        <w:tc>
          <w:tcPr>
            <w:tcW w:w="2228" w:type="dxa"/>
            <w:vAlign w:val="center"/>
          </w:tcPr>
          <w:p w:rsidR="00B24D97" w:rsidRPr="00D64309" w:rsidRDefault="00B24D97" w:rsidP="00805EDA">
            <w:pPr>
              <w:spacing w:before="120" w:after="120"/>
              <w:jc w:val="left"/>
              <w:rPr>
                <w:rFonts w:cs="Arial"/>
              </w:rPr>
            </w:pPr>
            <w:r w:rsidRPr="00D64309">
              <w:rPr>
                <w:rFonts w:cs="Arial"/>
              </w:rPr>
              <w:t>Repeat Procedure 3 for all syndicates within the Managing agency</w:t>
            </w:r>
          </w:p>
        </w:tc>
        <w:tc>
          <w:tcPr>
            <w:tcW w:w="2229" w:type="dxa"/>
            <w:tcBorders>
              <w:right w:val="single" w:sz="12" w:space="0" w:color="auto"/>
            </w:tcBorders>
            <w:vAlign w:val="center"/>
          </w:tcPr>
          <w:p w:rsidR="00B24D97" w:rsidRPr="00D64309" w:rsidRDefault="00B24D97" w:rsidP="00805EDA">
            <w:pPr>
              <w:spacing w:before="120" w:after="120"/>
              <w:jc w:val="center"/>
              <w:rPr>
                <w:rFonts w:cs="Arial"/>
              </w:rPr>
            </w:pPr>
            <w:r w:rsidRPr="00D64309">
              <w:rPr>
                <w:rFonts w:cs="Arial"/>
              </w:rPr>
              <w:t>Procedure 4</w:t>
            </w:r>
          </w:p>
        </w:tc>
      </w:tr>
      <w:tr w:rsidR="00B24D97" w:rsidRPr="00D64309" w:rsidTr="00F870EC">
        <w:trPr>
          <w:trHeight w:val="463"/>
          <w:jc w:val="center"/>
        </w:trPr>
        <w:tc>
          <w:tcPr>
            <w:tcW w:w="2228" w:type="dxa"/>
            <w:tcBorders>
              <w:left w:val="single" w:sz="12" w:space="0" w:color="auto"/>
              <w:bottom w:val="single" w:sz="12" w:space="0" w:color="auto"/>
              <w:right w:val="single" w:sz="12" w:space="0" w:color="auto"/>
            </w:tcBorders>
            <w:shd w:val="clear" w:color="auto" w:fill="C0C0C0"/>
            <w:vAlign w:val="center"/>
          </w:tcPr>
          <w:p w:rsidR="00B24D97" w:rsidRPr="00D64309" w:rsidRDefault="00B24D97" w:rsidP="00805EDA">
            <w:pPr>
              <w:spacing w:before="120" w:after="120"/>
              <w:jc w:val="left"/>
              <w:rPr>
                <w:rFonts w:cs="Arial"/>
                <w:b/>
              </w:rPr>
            </w:pPr>
            <w:r w:rsidRPr="00D64309">
              <w:rPr>
                <w:rFonts w:cs="Arial"/>
                <w:b/>
              </w:rPr>
              <w:t>XCS</w:t>
            </w:r>
          </w:p>
        </w:tc>
        <w:tc>
          <w:tcPr>
            <w:tcW w:w="2228" w:type="dxa"/>
            <w:tcBorders>
              <w:left w:val="single" w:sz="12" w:space="0" w:color="auto"/>
              <w:bottom w:val="single" w:sz="12" w:space="0" w:color="auto"/>
            </w:tcBorders>
            <w:vAlign w:val="center"/>
          </w:tcPr>
          <w:p w:rsidR="00B24D97" w:rsidRPr="00D64309" w:rsidRDefault="00B24D97" w:rsidP="00805EDA">
            <w:pPr>
              <w:spacing w:before="120" w:after="120"/>
              <w:jc w:val="center"/>
              <w:rPr>
                <w:rFonts w:cs="Arial"/>
              </w:rPr>
            </w:pPr>
            <w:r w:rsidRPr="00D64309">
              <w:rPr>
                <w:rFonts w:cs="Arial"/>
              </w:rPr>
              <w:t>Procedure 5</w:t>
            </w:r>
          </w:p>
        </w:tc>
        <w:tc>
          <w:tcPr>
            <w:tcW w:w="2228" w:type="dxa"/>
            <w:tcBorders>
              <w:bottom w:val="single" w:sz="12" w:space="0" w:color="auto"/>
            </w:tcBorders>
            <w:vAlign w:val="center"/>
          </w:tcPr>
          <w:p w:rsidR="00B24D97" w:rsidRPr="00D64309" w:rsidRDefault="00B24D97" w:rsidP="00805EDA">
            <w:pPr>
              <w:spacing w:before="120" w:after="120"/>
              <w:jc w:val="left"/>
              <w:rPr>
                <w:rFonts w:cs="Arial"/>
              </w:rPr>
            </w:pPr>
            <w:r w:rsidRPr="00D64309">
              <w:rPr>
                <w:rFonts w:cs="Arial"/>
              </w:rPr>
              <w:t>Procedure 5</w:t>
            </w:r>
          </w:p>
        </w:tc>
        <w:tc>
          <w:tcPr>
            <w:tcW w:w="2229" w:type="dxa"/>
            <w:tcBorders>
              <w:bottom w:val="single" w:sz="12" w:space="0" w:color="auto"/>
              <w:right w:val="single" w:sz="12" w:space="0" w:color="auto"/>
            </w:tcBorders>
            <w:vAlign w:val="center"/>
          </w:tcPr>
          <w:p w:rsidR="00B24D97" w:rsidRPr="00D64309" w:rsidRDefault="00B24D97" w:rsidP="00805EDA">
            <w:pPr>
              <w:spacing w:before="120" w:after="120"/>
              <w:jc w:val="center"/>
              <w:rPr>
                <w:rFonts w:cs="Arial"/>
              </w:rPr>
            </w:pPr>
            <w:r w:rsidRPr="00D64309">
              <w:rPr>
                <w:rFonts w:cs="Arial"/>
              </w:rPr>
              <w:t>Procedure 5</w:t>
            </w:r>
          </w:p>
        </w:tc>
      </w:tr>
    </w:tbl>
    <w:p w:rsidR="004E6E94" w:rsidRPr="00D64309" w:rsidRDefault="004E6E94" w:rsidP="00D46149">
      <w:pPr>
        <w:rPr>
          <w:rFonts w:cs="Arial"/>
        </w:rPr>
      </w:pPr>
    </w:p>
    <w:p w:rsidR="00B24D97" w:rsidRDefault="00B24D97" w:rsidP="00805EDA">
      <w:pPr>
        <w:pStyle w:val="Bullets"/>
        <w:numPr>
          <w:ilvl w:val="0"/>
          <w:numId w:val="0"/>
        </w:numPr>
        <w:spacing w:after="60"/>
        <w:ind w:left="397" w:hanging="397"/>
        <w:rPr>
          <w:rFonts w:cs="Arial"/>
          <w:b/>
          <w:bCs/>
        </w:rPr>
      </w:pPr>
      <w:r w:rsidRPr="00D64309">
        <w:rPr>
          <w:rFonts w:cs="Arial"/>
          <w:b/>
          <w:bCs/>
        </w:rPr>
        <w:t>Procedure 1</w:t>
      </w:r>
    </w:p>
    <w:p w:rsidR="00B24D97" w:rsidRPr="00D64309" w:rsidRDefault="00B24D97" w:rsidP="00EC73DD">
      <w:pPr>
        <w:rPr>
          <w:rFonts w:cs="Arial"/>
        </w:rPr>
      </w:pPr>
      <w:r w:rsidRPr="00D64309">
        <w:rPr>
          <w:rFonts w:cs="Arial"/>
        </w:rPr>
        <w:t xml:space="preserve">If the Lead Agreement Party wishes to declare a conflict of interest on a claim for a specific syndicate that they are authorised to act for, they should select the “Declare Organisation Conflict of Interest” button within CLASS at Lloyds </w:t>
      </w:r>
      <w:r w:rsidRPr="00D64309">
        <w:rPr>
          <w:rFonts w:cs="Arial"/>
          <w:b/>
        </w:rPr>
        <w:t>and they should contact the broker by email and alert them to this fact</w:t>
      </w:r>
      <w:r w:rsidRPr="00D64309">
        <w:rPr>
          <w:rFonts w:cs="Arial"/>
        </w:rPr>
        <w:t>. The Broker should approach the next underwriter who has not declared a conflict and request that underwriter to take over the lead of the claim. This process should continue down the list of subscribing insurers until an underwriter that has not declared a conflict is found. Any Agreement Party may choose to delegate their agreement role to XCS as per the current claims scheme. In all instances where the agreement role has been delegated to XCS a short form delegation agreement will need to be completed.</w:t>
      </w:r>
    </w:p>
    <w:p w:rsidR="00B24D97" w:rsidRPr="00D64309" w:rsidRDefault="00B24D97" w:rsidP="00EC73DD">
      <w:pPr>
        <w:rPr>
          <w:rFonts w:cs="Arial"/>
        </w:rPr>
      </w:pPr>
      <w:r w:rsidRPr="00D64309">
        <w:rPr>
          <w:rFonts w:cs="Arial"/>
          <w:b/>
        </w:rPr>
        <w:t>Note:</w:t>
      </w:r>
      <w:r w:rsidRPr="00D64309">
        <w:rPr>
          <w:rFonts w:cs="Arial"/>
        </w:rPr>
        <w:t xml:space="preserve"> Once the conflict is created the Syndicate cannot respond to, nor see any of the claim details or any documents associated with the claim. Any Home Page search will return no results for that UCR. No warning message is displayed indicating that access has been restricted due to conflict. The Syndicate will still receive the resulting SCM.</w:t>
      </w:r>
    </w:p>
    <w:p w:rsidR="00B24D97" w:rsidRDefault="00B24D97" w:rsidP="00805EDA">
      <w:pPr>
        <w:pStyle w:val="Bullets"/>
        <w:numPr>
          <w:ilvl w:val="0"/>
          <w:numId w:val="0"/>
        </w:numPr>
        <w:spacing w:after="60"/>
        <w:ind w:left="397" w:hanging="397"/>
        <w:rPr>
          <w:rFonts w:cs="Arial"/>
          <w:b/>
          <w:bCs/>
        </w:rPr>
      </w:pPr>
      <w:r w:rsidRPr="00D64309">
        <w:rPr>
          <w:rFonts w:cs="Arial"/>
          <w:b/>
          <w:bCs/>
        </w:rPr>
        <w:t>Procedure 2</w:t>
      </w:r>
    </w:p>
    <w:p w:rsidR="00B24D97" w:rsidRPr="00D64309" w:rsidRDefault="00B24D97" w:rsidP="00EC73DD">
      <w:pPr>
        <w:rPr>
          <w:rFonts w:cs="Arial"/>
        </w:rPr>
      </w:pPr>
      <w:r w:rsidRPr="00D64309">
        <w:rPr>
          <w:rFonts w:cs="Arial"/>
        </w:rPr>
        <w:t xml:space="preserve">If a following Agreement Party wishes to declare a conflict of interest on a claim for a specific syndicate that they are authorised to act for, they should select the “Declare Organisation Conflict of Interest” button within CLASS at Lloyds </w:t>
      </w:r>
      <w:r w:rsidRPr="00D64309">
        <w:rPr>
          <w:rFonts w:cs="Arial"/>
          <w:b/>
        </w:rPr>
        <w:t>and contact both the broker (for information only), and the Lead Agreement Party by email and alert them to this fact</w:t>
      </w:r>
      <w:r w:rsidRPr="00D64309">
        <w:rPr>
          <w:rFonts w:cs="Arial"/>
        </w:rPr>
        <w:t>. The following Agreement Party should request the Lead Agreement Party to open the transaction and add the next appropriate syndicate as an Agreement Party. This process should continue down the list of subscribing insurers until an underwriter that has not declared a conflict is found. Any Agreement Party may choose to delegate their agreement role to XCS as per the current claims scheme. In all instances where the agreement role has been delegated to XCS a short form delegation agreement will need to be completed.</w:t>
      </w:r>
    </w:p>
    <w:p w:rsidR="00B24D97" w:rsidRDefault="00B24D97" w:rsidP="00EC73DD">
      <w:pPr>
        <w:rPr>
          <w:rFonts w:cs="Arial"/>
        </w:rPr>
      </w:pPr>
      <w:r w:rsidRPr="00D64309">
        <w:rPr>
          <w:rFonts w:cs="Arial"/>
          <w:b/>
        </w:rPr>
        <w:t>Note:</w:t>
      </w:r>
      <w:r w:rsidRPr="00D64309">
        <w:rPr>
          <w:rFonts w:cs="Arial"/>
        </w:rPr>
        <w:t xml:space="preserve"> Once the conflict is created the Syndicate cannot respond to, nor see any of the claim details or any documents associated with the claim. Any Home Page search will return no results for that UCR. </w:t>
      </w:r>
      <w:r w:rsidRPr="00D64309">
        <w:rPr>
          <w:rFonts w:cs="Arial"/>
        </w:rPr>
        <w:lastRenderedPageBreak/>
        <w:t>No warning message is displayed indicating that access has been restricted due to conflict. The Syndicate will still receive the resulting SCM.</w:t>
      </w:r>
    </w:p>
    <w:p w:rsidR="00B24D97" w:rsidRPr="00D64309" w:rsidRDefault="00B24D97" w:rsidP="00805EDA">
      <w:pPr>
        <w:pStyle w:val="Bullets"/>
        <w:numPr>
          <w:ilvl w:val="0"/>
          <w:numId w:val="0"/>
        </w:numPr>
        <w:spacing w:after="60"/>
        <w:ind w:left="397" w:hanging="397"/>
        <w:rPr>
          <w:rFonts w:cs="Arial"/>
          <w:b/>
          <w:bCs/>
        </w:rPr>
      </w:pPr>
      <w:r w:rsidRPr="00D64309">
        <w:rPr>
          <w:rFonts w:cs="Arial"/>
          <w:b/>
          <w:bCs/>
        </w:rPr>
        <w:t>Procedure 3</w:t>
      </w:r>
    </w:p>
    <w:p w:rsidR="00B24D97" w:rsidRPr="00D64309" w:rsidRDefault="00B24D97" w:rsidP="00EC73DD">
      <w:pPr>
        <w:rPr>
          <w:rFonts w:cs="Arial"/>
        </w:rPr>
      </w:pPr>
      <w:r w:rsidRPr="00D64309">
        <w:rPr>
          <w:rFonts w:cs="Arial"/>
        </w:rPr>
        <w:t xml:space="preserve">If a following underwriter who is not an Agreement Party wishes to declare a conflict of interest on a claim for a specific syndicate that they are authorised to act for, they should select the “Declare Organisation Conflict of Interest” button within CLASS at Lloyds </w:t>
      </w:r>
      <w:r w:rsidRPr="00D64309">
        <w:rPr>
          <w:rFonts w:cs="Arial"/>
          <w:b/>
        </w:rPr>
        <w:t>and contact the broker by email and alert them to this fact</w:t>
      </w:r>
      <w:r w:rsidRPr="00D64309">
        <w:rPr>
          <w:rFonts w:cs="Arial"/>
        </w:rPr>
        <w:t>.</w:t>
      </w:r>
    </w:p>
    <w:p w:rsidR="00B24D97" w:rsidRPr="00D64309" w:rsidRDefault="00B24D97" w:rsidP="00EC73DD">
      <w:pPr>
        <w:rPr>
          <w:rFonts w:cs="Arial"/>
        </w:rPr>
      </w:pPr>
      <w:r w:rsidRPr="00D64309">
        <w:rPr>
          <w:rFonts w:cs="Arial"/>
          <w:b/>
        </w:rPr>
        <w:t>Note:</w:t>
      </w:r>
      <w:r w:rsidRPr="00D64309">
        <w:rPr>
          <w:rFonts w:cs="Arial"/>
        </w:rPr>
        <w:t xml:space="preserve"> Once the conflict is created the Syndicate cannot respond to, nor see any of the claim details or any documents associated with the claim. Any Home Page search will return no results for that UCR. No warning message is displayed indicating that access has been restricted due to conflict. The Syndicate will still receive the resulting SCM.</w:t>
      </w:r>
    </w:p>
    <w:p w:rsidR="00B24D97" w:rsidRPr="00D64309" w:rsidRDefault="00B24D97" w:rsidP="00805EDA">
      <w:pPr>
        <w:pStyle w:val="Bullets"/>
        <w:numPr>
          <w:ilvl w:val="0"/>
          <w:numId w:val="0"/>
        </w:numPr>
        <w:spacing w:after="60"/>
        <w:ind w:left="397" w:hanging="397"/>
        <w:rPr>
          <w:rFonts w:cs="Arial"/>
          <w:b/>
          <w:bCs/>
        </w:rPr>
      </w:pPr>
      <w:r w:rsidRPr="00D64309">
        <w:rPr>
          <w:rFonts w:cs="Arial"/>
          <w:b/>
          <w:bCs/>
        </w:rPr>
        <w:t>Procedure 4</w:t>
      </w:r>
    </w:p>
    <w:p w:rsidR="00B24D97" w:rsidRPr="00D64309" w:rsidRDefault="00B24D97" w:rsidP="00EC73DD">
      <w:pPr>
        <w:rPr>
          <w:rFonts w:cs="Arial"/>
        </w:rPr>
      </w:pPr>
      <w:r w:rsidRPr="00D64309">
        <w:rPr>
          <w:rFonts w:cs="Arial"/>
        </w:rPr>
        <w:t>Individual adjusters wishing to declare a conflict of interest at an individual level should select the ‘Declare Individual Conflict of Interest’ button within the Claims Summary Screen.. The adjuster in conflict should then arrange for an alternative adjuster with no conflict to review the claim. If there are no alternative adjusters with no conflict of interest, the procedures described above should be followed dependant on the ad</w:t>
      </w:r>
      <w:r w:rsidR="00A22CF4">
        <w:rPr>
          <w:rFonts w:cs="Arial"/>
        </w:rPr>
        <w:t>j</w:t>
      </w:r>
      <w:r w:rsidRPr="00D64309">
        <w:rPr>
          <w:rFonts w:cs="Arial"/>
        </w:rPr>
        <w:t xml:space="preserve">uster’s role. </w:t>
      </w:r>
    </w:p>
    <w:p w:rsidR="00B24D97" w:rsidRPr="00D64309" w:rsidRDefault="00B24D97" w:rsidP="00805EDA">
      <w:pPr>
        <w:pStyle w:val="Bullets"/>
        <w:numPr>
          <w:ilvl w:val="0"/>
          <w:numId w:val="0"/>
        </w:numPr>
        <w:spacing w:after="60"/>
        <w:ind w:left="397" w:hanging="397"/>
        <w:rPr>
          <w:rFonts w:cs="Arial"/>
          <w:b/>
          <w:bCs/>
        </w:rPr>
      </w:pPr>
      <w:r w:rsidRPr="00D64309">
        <w:rPr>
          <w:rFonts w:cs="Arial"/>
          <w:b/>
          <w:bCs/>
        </w:rPr>
        <w:t>Procedure 5</w:t>
      </w:r>
    </w:p>
    <w:p w:rsidR="00B24D97" w:rsidRPr="00D64309" w:rsidRDefault="00B24D97" w:rsidP="00EC73DD">
      <w:pPr>
        <w:rPr>
          <w:rFonts w:cs="Arial"/>
        </w:rPr>
      </w:pPr>
      <w:r w:rsidRPr="00D64309">
        <w:rPr>
          <w:rFonts w:cs="Arial"/>
        </w:rPr>
        <w:t>XCS will manage conflicts of interest internally as appropriate.</w:t>
      </w:r>
    </w:p>
    <w:p w:rsidR="00B24D97" w:rsidRPr="00D64309" w:rsidRDefault="00B24D97" w:rsidP="00805EDA">
      <w:pPr>
        <w:pStyle w:val="Heading5"/>
        <w:rPr>
          <w:lang w:eastAsia="en-GB"/>
        </w:rPr>
      </w:pPr>
      <w:bookmarkStart w:id="213" w:name="_Toc389214836"/>
      <w:r w:rsidRPr="00D64309">
        <w:rPr>
          <w:lang w:eastAsia="en-GB"/>
        </w:rPr>
        <w:t>Conflict Of Interest: Users with multiple bureau logons</w:t>
      </w:r>
      <w:bookmarkEnd w:id="213"/>
    </w:p>
    <w:p w:rsidR="00B24D97" w:rsidRPr="00D64309" w:rsidRDefault="00B24D97" w:rsidP="00EC73DD">
      <w:pPr>
        <w:rPr>
          <w:rFonts w:cs="Arial"/>
        </w:rPr>
      </w:pPr>
      <w:r w:rsidRPr="00D64309">
        <w:rPr>
          <w:rFonts w:cs="Arial"/>
          <w:lang w:eastAsia="en-GB"/>
        </w:rPr>
        <w:t xml:space="preserve">A user who has declared a conflict of interest on a claim will have their access to that claim removed. A user with a multiple bureau logon (i.e. a logon that grants access as a Lloyd’s syndicate, LIRMA carrier and/or ILU carrier) should be aware that declaring a conflict for any one bureau will have the result of removing access to the claim for ALL bureaux. For example; if a user declares a conflict as a LIRMA carrier, they cannot then gain access to the claim as an ILU carrier. </w:t>
      </w:r>
    </w:p>
    <w:p w:rsidR="00B24D97" w:rsidRPr="00D64309" w:rsidRDefault="00B24D97" w:rsidP="00805EDA">
      <w:pPr>
        <w:pStyle w:val="Heading5"/>
      </w:pPr>
      <w:bookmarkStart w:id="214" w:name="_Toc389214837"/>
      <w:bookmarkStart w:id="215" w:name="OLE_LINK12"/>
      <w:r w:rsidRPr="00D64309">
        <w:t>Removal of a Conflict</w:t>
      </w:r>
      <w:bookmarkEnd w:id="214"/>
    </w:p>
    <w:bookmarkEnd w:id="215"/>
    <w:p w:rsidR="00B24D97" w:rsidRPr="00D64309" w:rsidRDefault="00B24D97" w:rsidP="00D46149">
      <w:pPr>
        <w:rPr>
          <w:rFonts w:cs="Arial"/>
        </w:rPr>
      </w:pPr>
      <w:r w:rsidRPr="00D64309">
        <w:rPr>
          <w:rFonts w:cs="Arial"/>
        </w:rPr>
        <w:t xml:space="preserve">The conflict can be removed by the Managing Agent’s system administrator by emailing the XIS system administrator requesting that the conflict be removed. Individual conflicts can be removed by the Managing Agent’s system administrator without reference to XIS. Further details on this can be found in the ECF On-line Guidelines for Carriers. XIS </w:t>
      </w:r>
      <w:r w:rsidRPr="00D64309">
        <w:rPr>
          <w:rFonts w:cs="Arial"/>
          <w:b/>
        </w:rPr>
        <w:t xml:space="preserve">must </w:t>
      </w:r>
      <w:r w:rsidRPr="00D64309">
        <w:rPr>
          <w:rFonts w:cs="Arial"/>
        </w:rPr>
        <w:t>be in possession of a list of all of the Managing Agents’ and Syndicates’ administrator e-mail addresses to be able to confirm with confidence that the person requesting the removal of the conflict has the necessary authority to do so. Requests from other parties within a Managing Agency will be forwarded to the Managing Agency’s system administrator with a request for confirmation that the conflict should be removed.</w:t>
      </w:r>
    </w:p>
    <w:p w:rsidR="00B24D97" w:rsidRPr="002650ED" w:rsidRDefault="00B24D97" w:rsidP="002650ED">
      <w:pPr>
        <w:rPr>
          <w:rFonts w:cs="Arial"/>
        </w:rPr>
      </w:pPr>
      <w:r w:rsidRPr="00D64309">
        <w:rPr>
          <w:rFonts w:cs="Arial"/>
        </w:rPr>
        <w:t>Following the removal of a conflict, the Syndicate will be able to access the CLASS data and all documents related to that particular UCR, even if added to the claim before the conflict was removed</w:t>
      </w:r>
      <w:r w:rsidR="002650ED">
        <w:rPr>
          <w:rFonts w:cs="Arial"/>
        </w:rPr>
        <w:t>.</w:t>
      </w:r>
    </w:p>
    <w:p w:rsidR="00B24D97" w:rsidRPr="00D64309" w:rsidRDefault="00B24D97" w:rsidP="00D435A6">
      <w:pPr>
        <w:pStyle w:val="Heading3"/>
      </w:pPr>
      <w:bookmarkStart w:id="216" w:name="OrigPrem"/>
      <w:bookmarkStart w:id="217" w:name="_Toc112226846"/>
      <w:bookmarkStart w:id="218" w:name="_Toc389214839"/>
      <w:bookmarkStart w:id="219" w:name="_Toc396989160"/>
      <w:bookmarkEnd w:id="216"/>
      <w:r w:rsidRPr="00D64309">
        <w:t xml:space="preserve">Original </w:t>
      </w:r>
      <w:bookmarkEnd w:id="217"/>
      <w:r w:rsidRPr="00D64309">
        <w:t>Signing Number and Date</w:t>
      </w:r>
      <w:bookmarkEnd w:id="218"/>
      <w:bookmarkEnd w:id="219"/>
    </w:p>
    <w:p w:rsidR="00B24D97" w:rsidRPr="00D64309" w:rsidRDefault="00B24D97" w:rsidP="00035917">
      <w:pPr>
        <w:rPr>
          <w:rFonts w:cs="Arial"/>
        </w:rPr>
      </w:pPr>
      <w:r w:rsidRPr="00D64309">
        <w:rPr>
          <w:rFonts w:cs="Arial"/>
        </w:rPr>
        <w:t>Original Signing Number and Date is required to enable a claim to be processed via ECF. This may be a FDO together with the applicable Additional Premium signing number and date supplied by the broker.</w:t>
      </w:r>
    </w:p>
    <w:p w:rsidR="00B24D97" w:rsidRPr="00D64309" w:rsidRDefault="00B24D97" w:rsidP="00D435A6">
      <w:pPr>
        <w:pStyle w:val="Heading3"/>
      </w:pPr>
      <w:bookmarkStart w:id="220" w:name="_Toc112226847"/>
      <w:bookmarkStart w:id="221" w:name="_Toc389214840"/>
      <w:bookmarkStart w:id="222" w:name="_Toc396989161"/>
      <w:r w:rsidRPr="00D64309">
        <w:t>Premium Signing Information</w:t>
      </w:r>
      <w:bookmarkEnd w:id="220"/>
      <w:bookmarkEnd w:id="221"/>
      <w:bookmarkEnd w:id="222"/>
      <w:r w:rsidRPr="00D64309">
        <w:t xml:space="preserve"> </w:t>
      </w:r>
    </w:p>
    <w:p w:rsidR="00B24D97" w:rsidRDefault="00B24D97" w:rsidP="00035917">
      <w:pPr>
        <w:rPr>
          <w:rFonts w:cs="Arial"/>
        </w:rPr>
      </w:pPr>
      <w:r w:rsidRPr="00D64309">
        <w:rPr>
          <w:rFonts w:cs="Arial"/>
        </w:rPr>
        <w:t xml:space="preserve">Premium signing information must be available to demonstrate that the premium has been paid and received by insurers or reinsurers. This is to include original premiums and/or any subsequent additional or return premiums and premium adjustments where applicable; such as on excess of loss reinsurance contracts. This is essential to enable a claims adjuster to make a decision with regard to any claim. With regard to reinsurance, a reinstatement premium may be payable and full details are required to enable calculations to be checked and confirmed. </w:t>
      </w:r>
    </w:p>
    <w:p w:rsidR="00B24D97" w:rsidRPr="00D64309" w:rsidRDefault="00B24D97" w:rsidP="002055BA">
      <w:pPr>
        <w:pStyle w:val="Heading3"/>
        <w:rPr>
          <w:rFonts w:cs="Arial"/>
        </w:rPr>
      </w:pPr>
      <w:bookmarkStart w:id="223" w:name="_Toc111885536"/>
      <w:bookmarkStart w:id="224" w:name="_Toc111965513"/>
      <w:bookmarkStart w:id="225" w:name="_Toc111885537"/>
      <w:bookmarkStart w:id="226" w:name="_Toc111965514"/>
      <w:bookmarkStart w:id="227" w:name="_Toc111885538"/>
      <w:bookmarkStart w:id="228" w:name="_Toc111965515"/>
      <w:bookmarkStart w:id="229" w:name="_Toc112226850"/>
      <w:bookmarkStart w:id="230" w:name="_Toc134427294"/>
      <w:bookmarkStart w:id="231" w:name="_Toc142277053"/>
      <w:bookmarkStart w:id="232" w:name="_Toc389214841"/>
      <w:bookmarkStart w:id="233" w:name="_Toc396989162"/>
      <w:bookmarkEnd w:id="223"/>
      <w:bookmarkEnd w:id="224"/>
      <w:bookmarkEnd w:id="225"/>
      <w:bookmarkEnd w:id="226"/>
      <w:bookmarkEnd w:id="227"/>
      <w:bookmarkEnd w:id="228"/>
      <w:r w:rsidRPr="00D64309">
        <w:rPr>
          <w:rFonts w:cs="Arial"/>
        </w:rPr>
        <w:lastRenderedPageBreak/>
        <w:t>Exceptions</w:t>
      </w:r>
      <w:bookmarkEnd w:id="229"/>
      <w:bookmarkEnd w:id="230"/>
      <w:bookmarkEnd w:id="231"/>
      <w:bookmarkEnd w:id="232"/>
      <w:bookmarkEnd w:id="233"/>
    </w:p>
    <w:p w:rsidR="00B24D97" w:rsidRPr="00D64309" w:rsidRDefault="00B24D97" w:rsidP="002055BA">
      <w:pPr>
        <w:pStyle w:val="Heading4"/>
        <w:rPr>
          <w:rFonts w:cs="Arial"/>
        </w:rPr>
      </w:pPr>
      <w:bookmarkStart w:id="234" w:name="_Toc112226851"/>
      <w:bookmarkStart w:id="235" w:name="_Toc389214842"/>
      <w:r w:rsidRPr="00D64309">
        <w:rPr>
          <w:rFonts w:cs="Arial"/>
        </w:rPr>
        <w:t>Reinstatement Premium</w:t>
      </w:r>
      <w:bookmarkEnd w:id="234"/>
      <w:bookmarkEnd w:id="235"/>
    </w:p>
    <w:p w:rsidR="00B24D97" w:rsidRPr="00D64309" w:rsidRDefault="00B24D97" w:rsidP="00D83B64">
      <w:pPr>
        <w:rPr>
          <w:rFonts w:cs="Arial"/>
        </w:rPr>
      </w:pPr>
      <w:r w:rsidRPr="00D64309">
        <w:rPr>
          <w:rFonts w:cs="Arial"/>
        </w:rPr>
        <w:t xml:space="preserve">If a Reinstatement Premium is due, then the Lead Agreement Party </w:t>
      </w:r>
      <w:r w:rsidRPr="00D64309">
        <w:rPr>
          <w:rFonts w:cs="Arial"/>
          <w:b/>
        </w:rPr>
        <w:t>must</w:t>
      </w:r>
      <w:r w:rsidRPr="00D64309">
        <w:rPr>
          <w:rFonts w:cs="Arial"/>
        </w:rPr>
        <w:t xml:space="preserve"> set the Simultaneous Reinstatement Premium indicator on the Market Response screen. Click on the RIP Required “Yes” radio button. This field is mandatory and the default is set to “No” (note also that brokers are required to indicate that a reinstatement premium is due). This indicates to the XCS adjuster that a simultaneous reinstatement premium is due. XCS are responsible for ensuring that the claim and the reinstatement premium are processed simultaneously. Note that followers can only access the Market Response screen in enquiry mode and are therefore unable to alter the RIP button.</w:t>
      </w:r>
    </w:p>
    <w:p w:rsidR="00B24D97" w:rsidRPr="00D64309" w:rsidRDefault="00B24D97" w:rsidP="002055BA">
      <w:pPr>
        <w:pStyle w:val="Heading4"/>
        <w:rPr>
          <w:rFonts w:cs="Arial"/>
        </w:rPr>
      </w:pPr>
      <w:bookmarkStart w:id="236" w:name="_Toc112226852"/>
      <w:bookmarkStart w:id="237" w:name="_Toc389214843"/>
      <w:r w:rsidRPr="00D64309">
        <w:rPr>
          <w:rFonts w:cs="Arial"/>
        </w:rPr>
        <w:t>Face to Face Broker Discussion</w:t>
      </w:r>
      <w:bookmarkEnd w:id="236"/>
      <w:bookmarkEnd w:id="237"/>
    </w:p>
    <w:p w:rsidR="00B24D97" w:rsidRPr="00D64309" w:rsidRDefault="00B24D97" w:rsidP="00D83B64">
      <w:pPr>
        <w:rPr>
          <w:rFonts w:cs="Arial"/>
        </w:rPr>
      </w:pPr>
      <w:r w:rsidRPr="00D64309">
        <w:rPr>
          <w:rFonts w:cs="Arial"/>
        </w:rPr>
        <w:t>While the aim of the ECF is to process claims electronically, there will still be times that the carrier may need to request a Broker visit. Agreement Parties should arrange a meeting with brokers outside of ECF, e.g. by telephone, email etc. However, if the broker fails to attend the meeting or does not respond to the carrier’s requests within a reasonable time (being mindful of Claims Minimum Standards); Agreement Parties may enter a response of “</w:t>
      </w:r>
      <w:r w:rsidRPr="00D64309">
        <w:rPr>
          <w:rFonts w:cs="Arial"/>
          <w:b/>
        </w:rPr>
        <w:t>query/return</w:t>
      </w:r>
      <w:r w:rsidRPr="00D64309">
        <w:rPr>
          <w:rFonts w:cs="Arial"/>
        </w:rPr>
        <w:t xml:space="preserve">” on ECF (please refer to section </w:t>
      </w:r>
      <w:hyperlink w:anchor="_Claims_Process_Involving" w:history="1">
        <w:r w:rsidR="000E187E" w:rsidRPr="000E187E">
          <w:rPr>
            <w:rStyle w:val="Hyperlink"/>
          </w:rPr>
          <w:t>2</w:t>
        </w:r>
        <w:r w:rsidR="00CC5286" w:rsidRPr="000E187E">
          <w:rPr>
            <w:rStyle w:val="Hyperlink"/>
          </w:rPr>
          <w:t>.</w:t>
        </w:r>
        <w:r w:rsidR="000E187E" w:rsidRPr="000E187E">
          <w:rPr>
            <w:rStyle w:val="Hyperlink"/>
          </w:rPr>
          <w:t>6</w:t>
        </w:r>
      </w:hyperlink>
      <w:r w:rsidRPr="00CC5286">
        <w:rPr>
          <w:rFonts w:cs="Arial"/>
        </w:rPr>
        <w:t>).</w:t>
      </w:r>
      <w:r w:rsidRPr="00D64309">
        <w:rPr>
          <w:rFonts w:cs="Arial"/>
        </w:rPr>
        <w:t xml:space="preserve"> Followers may request a broker visit at any time.</w:t>
      </w:r>
    </w:p>
    <w:p w:rsidR="00B24D97" w:rsidRPr="00D64309" w:rsidRDefault="00B24D97" w:rsidP="002055BA">
      <w:pPr>
        <w:pStyle w:val="Heading4"/>
        <w:rPr>
          <w:rFonts w:cs="Arial"/>
        </w:rPr>
      </w:pPr>
      <w:bookmarkStart w:id="238" w:name="_Toc112226853"/>
      <w:bookmarkStart w:id="239" w:name="_Toc389214844"/>
      <w:r w:rsidRPr="00D64309">
        <w:rPr>
          <w:rFonts w:cs="Arial"/>
        </w:rPr>
        <w:t>Claims on Singleton Risks</w:t>
      </w:r>
      <w:bookmarkEnd w:id="238"/>
      <w:bookmarkEnd w:id="239"/>
    </w:p>
    <w:p w:rsidR="00B24D97" w:rsidRPr="00D64309" w:rsidRDefault="00B24D97" w:rsidP="00D83B64">
      <w:pPr>
        <w:rPr>
          <w:rFonts w:cs="Arial"/>
          <w:szCs w:val="22"/>
        </w:rPr>
      </w:pPr>
      <w:r w:rsidRPr="00D64309">
        <w:rPr>
          <w:rFonts w:cs="Arial"/>
        </w:rPr>
        <w:t xml:space="preserve">Singleton risks are those where there is only one insurer i.e. no follower. In the event of claims against singleton risks, the insurer will agree to the claim which will authorise XCS to process the entry. </w:t>
      </w:r>
      <w:r w:rsidRPr="00D64309">
        <w:rPr>
          <w:rFonts w:cs="Arial"/>
          <w:szCs w:val="22"/>
        </w:rPr>
        <w:t>The ECF automatically adds XCS to the Agreement Party list for all claims so that the claim goes to XCS for processing. XCS must mirror the response of the Lead Agreement Party on the ECF in order for the transaction to flow through to XCS CLASS so that XCS can process the claim, unless there is a technical error in which case XCS will discuss with the Lead Agreement Party and will likely enter a “</w:t>
      </w:r>
      <w:r w:rsidRPr="00D64309">
        <w:rPr>
          <w:rFonts w:cs="Arial"/>
          <w:b/>
          <w:szCs w:val="22"/>
        </w:rPr>
        <w:t>query/return</w:t>
      </w:r>
      <w:r w:rsidRPr="00D64309">
        <w:rPr>
          <w:rFonts w:cs="Arial"/>
          <w:szCs w:val="22"/>
        </w:rPr>
        <w:t xml:space="preserve">” response. </w:t>
      </w:r>
    </w:p>
    <w:p w:rsidR="00B24D97" w:rsidRPr="00D15101" w:rsidRDefault="00B24D97" w:rsidP="00EF287E">
      <w:pPr>
        <w:pStyle w:val="Heading2"/>
        <w:tabs>
          <w:tab w:val="clear" w:pos="576"/>
          <w:tab w:val="num" w:pos="-2127"/>
          <w:tab w:val="left" w:pos="567"/>
          <w:tab w:val="left" w:pos="1843"/>
        </w:tabs>
        <w:ind w:left="1843" w:hanging="1843"/>
        <w:rPr>
          <w:rFonts w:cs="Arial"/>
        </w:rPr>
      </w:pPr>
      <w:bookmarkStart w:id="240" w:name="_Toc112226854"/>
      <w:bookmarkStart w:id="241" w:name="_Toc134427295"/>
      <w:bookmarkStart w:id="242" w:name="_Toc142277054"/>
      <w:bookmarkStart w:id="243" w:name="_Toc389214845"/>
      <w:bookmarkStart w:id="244" w:name="_Toc396989163"/>
      <w:r w:rsidRPr="00D15101">
        <w:rPr>
          <w:rFonts w:cs="Arial"/>
        </w:rPr>
        <w:t>Create Syndicate Records, Process Settlements and Create Advice to Market</w:t>
      </w:r>
      <w:bookmarkEnd w:id="240"/>
      <w:bookmarkEnd w:id="241"/>
      <w:bookmarkEnd w:id="242"/>
      <w:bookmarkEnd w:id="243"/>
      <w:bookmarkEnd w:id="244"/>
    </w:p>
    <w:p w:rsidR="00B24D97" w:rsidRPr="00D64309" w:rsidRDefault="00B24D97" w:rsidP="00D83B64">
      <w:pPr>
        <w:rPr>
          <w:rFonts w:cs="Arial"/>
        </w:rPr>
      </w:pPr>
      <w:r w:rsidRPr="00D64309">
        <w:rPr>
          <w:rFonts w:cs="Arial"/>
        </w:rPr>
        <w:t>Following XCS responding to a claim and updating the record on XCS CLASS as appropriate, XCS are to:</w:t>
      </w:r>
    </w:p>
    <w:p w:rsidR="00B24D97" w:rsidRPr="00D64309" w:rsidRDefault="00B24D97" w:rsidP="006C2DDD">
      <w:pPr>
        <w:numPr>
          <w:ilvl w:val="0"/>
          <w:numId w:val="11"/>
        </w:numPr>
        <w:tabs>
          <w:tab w:val="clear" w:pos="720"/>
          <w:tab w:val="num" w:pos="567"/>
        </w:tabs>
        <w:ind w:left="567" w:hanging="567"/>
        <w:rPr>
          <w:rFonts w:cs="Arial"/>
        </w:rPr>
      </w:pPr>
      <w:r w:rsidRPr="00D64309">
        <w:rPr>
          <w:rFonts w:cs="Arial"/>
        </w:rPr>
        <w:t>Check that all necessary authorisations have been given and any instructions from the Agreement Parties.</w:t>
      </w:r>
    </w:p>
    <w:p w:rsidR="00B24D97" w:rsidRPr="00D64309" w:rsidRDefault="00B24D97" w:rsidP="006C2DDD">
      <w:pPr>
        <w:numPr>
          <w:ilvl w:val="0"/>
          <w:numId w:val="11"/>
        </w:numPr>
        <w:tabs>
          <w:tab w:val="clear" w:pos="720"/>
          <w:tab w:val="num" w:pos="567"/>
        </w:tabs>
        <w:ind w:left="567" w:hanging="567"/>
        <w:rPr>
          <w:rFonts w:cs="Arial"/>
        </w:rPr>
      </w:pPr>
      <w:r w:rsidRPr="00D64309">
        <w:rPr>
          <w:rFonts w:cs="Arial"/>
        </w:rPr>
        <w:t>Create records and advices to meet Syndicates’ statistical and reporting requirements, add any additional statistical codes, and allocate outstanding and payment amounts to appropriate statistical breakdowns.</w:t>
      </w:r>
    </w:p>
    <w:p w:rsidR="00B24D97" w:rsidRPr="00D64309" w:rsidRDefault="00B24D97" w:rsidP="006C2DDD">
      <w:pPr>
        <w:numPr>
          <w:ilvl w:val="0"/>
          <w:numId w:val="11"/>
        </w:numPr>
        <w:tabs>
          <w:tab w:val="clear" w:pos="720"/>
          <w:tab w:val="num" w:pos="567"/>
        </w:tabs>
        <w:ind w:left="567" w:hanging="567"/>
        <w:rPr>
          <w:rFonts w:cs="Arial"/>
        </w:rPr>
      </w:pPr>
      <w:r w:rsidRPr="00D64309">
        <w:rPr>
          <w:rFonts w:cs="Arial"/>
        </w:rPr>
        <w:t>If payment has been authorised, create the accounting records and trigger payment (including reinstatements where applicable).</w:t>
      </w:r>
    </w:p>
    <w:p w:rsidR="00B24D97" w:rsidRPr="00D64309" w:rsidRDefault="00B24D97" w:rsidP="006C2DDD">
      <w:pPr>
        <w:numPr>
          <w:ilvl w:val="0"/>
          <w:numId w:val="11"/>
        </w:numPr>
        <w:tabs>
          <w:tab w:val="clear" w:pos="720"/>
          <w:tab w:val="num" w:pos="567"/>
        </w:tabs>
        <w:ind w:left="567" w:hanging="567"/>
        <w:rPr>
          <w:rFonts w:cs="Arial"/>
        </w:rPr>
      </w:pPr>
      <w:r w:rsidRPr="00D64309">
        <w:rPr>
          <w:rFonts w:cs="Arial"/>
        </w:rPr>
        <w:t>Create and transmit a SCM, USM and BSM (where applicable), and any successor message for each Syndicate in the market for a claim. (See XCS for operating procedures). References supplied by the Broker on the LIMCLM or CLASS entry that triggers a payment will be those that are advised on the BSM. References are critical to the ultimate allocation of cash specified by the BSM.</w:t>
      </w:r>
    </w:p>
    <w:p w:rsidR="00B24D97" w:rsidRPr="00D64309" w:rsidRDefault="00B24D97" w:rsidP="002055BA">
      <w:pPr>
        <w:pStyle w:val="Heading3"/>
        <w:rPr>
          <w:rFonts w:cs="Arial"/>
        </w:rPr>
      </w:pPr>
      <w:bookmarkStart w:id="245" w:name="_Toc134427296"/>
      <w:bookmarkStart w:id="246" w:name="_Toc142277055"/>
      <w:bookmarkStart w:id="247" w:name="_Toc389214846"/>
      <w:bookmarkStart w:id="248" w:name="_Toc396989164"/>
      <w:bookmarkStart w:id="249" w:name="_Toc112226862"/>
      <w:r w:rsidRPr="00D64309">
        <w:rPr>
          <w:rFonts w:cs="Arial"/>
        </w:rPr>
        <w:t>SCM Generation</w:t>
      </w:r>
      <w:bookmarkEnd w:id="245"/>
      <w:bookmarkEnd w:id="246"/>
      <w:bookmarkEnd w:id="247"/>
      <w:bookmarkEnd w:id="248"/>
    </w:p>
    <w:p w:rsidR="00B24D97" w:rsidRDefault="00B24D97" w:rsidP="00D83B64">
      <w:pPr>
        <w:rPr>
          <w:rFonts w:cs="Arial"/>
        </w:rPr>
      </w:pPr>
      <w:r w:rsidRPr="00D64309">
        <w:rPr>
          <w:rFonts w:cs="Arial"/>
        </w:rPr>
        <w:t>Following delivery of Phase 6a of ECF, XCS can effectively manage the generation of SCMs as per previous paper processes.  This means that XCS are able to generate an SCM even if their response to the transaction is Query/Return; e.g. if there is sufficient information to create an accurate reserve but the broker submission is clearly incorrect (this does not necessarily mean that Managing Agents will receive an SCM for all Queried transactions). However, when XCS enter a response of Seen/Action or Agree Pay; an SCM will always be generated, even for those claims that in a paper environment would have been seen by XCS but not advised in an SCM (e.g. precautionary advice).</w:t>
      </w:r>
    </w:p>
    <w:p w:rsidR="000E187E" w:rsidRPr="00D64309" w:rsidRDefault="000E187E" w:rsidP="00D83B64">
      <w:pPr>
        <w:rPr>
          <w:rFonts w:cs="Arial"/>
        </w:rPr>
      </w:pPr>
    </w:p>
    <w:p w:rsidR="00B24D97" w:rsidRPr="00D64309" w:rsidRDefault="00B24D97" w:rsidP="00BE038F">
      <w:pPr>
        <w:pStyle w:val="Heading3"/>
        <w:rPr>
          <w:rFonts w:cs="Arial"/>
        </w:rPr>
      </w:pPr>
      <w:bookmarkStart w:id="250" w:name="_Toc389214847"/>
      <w:bookmarkStart w:id="251" w:name="_Toc396989165"/>
      <w:r w:rsidRPr="00D64309">
        <w:rPr>
          <w:rFonts w:cs="Arial"/>
        </w:rPr>
        <w:lastRenderedPageBreak/>
        <w:t>Settlement Processing</w:t>
      </w:r>
      <w:bookmarkEnd w:id="250"/>
      <w:bookmarkEnd w:id="251"/>
    </w:p>
    <w:p w:rsidR="00624579" w:rsidRPr="00284AEA" w:rsidRDefault="00B24D97" w:rsidP="00624579">
      <w:pPr>
        <w:rPr>
          <w:rFonts w:cs="Arial"/>
        </w:rPr>
      </w:pPr>
      <w:r w:rsidRPr="00D64309">
        <w:rPr>
          <w:rFonts w:cs="Arial"/>
        </w:rPr>
        <w:t xml:space="preserve">XCS may have to enter a response of “Query/Return on the ECF transaction, however; XCS must not process a settlement unless they are able to enter a response of “Agree Pay” on the ECF transaction, even if the query is peripheral to the settlement. In </w:t>
      </w:r>
      <w:r w:rsidRPr="00D64309">
        <w:rPr>
          <w:rFonts w:cs="Arial"/>
          <w:b/>
        </w:rPr>
        <w:t>extreme circumstances</w:t>
      </w:r>
      <w:r w:rsidRPr="00D64309">
        <w:rPr>
          <w:rFonts w:cs="Arial"/>
        </w:rPr>
        <w:t>, XCS may be able to process the settlement while querying the ECF transaction, although such circumstances will be rare and Brokers should contact XCS to discuss the settlement in such circumstances.</w:t>
      </w:r>
      <w:bookmarkStart w:id="252" w:name="XCSIssuesWithClaimProcessing"/>
      <w:bookmarkStart w:id="253" w:name="InsurersDailyNotification"/>
      <w:bookmarkEnd w:id="249"/>
      <w:bookmarkEnd w:id="252"/>
      <w:bookmarkEnd w:id="253"/>
    </w:p>
    <w:p w:rsidR="0010143D" w:rsidRPr="00805EDA" w:rsidRDefault="00B24D97" w:rsidP="0010143D">
      <w:pPr>
        <w:pStyle w:val="Heading4"/>
        <w:contextualSpacing/>
        <w:rPr>
          <w:rFonts w:cs="Arial"/>
        </w:rPr>
      </w:pPr>
      <w:bookmarkStart w:id="254" w:name="Variations"/>
      <w:bookmarkStart w:id="255" w:name="_Toc112226863"/>
      <w:bookmarkStart w:id="256" w:name="_Toc134427300"/>
      <w:bookmarkStart w:id="257" w:name="_Toc142277059"/>
      <w:bookmarkEnd w:id="254"/>
      <w:r w:rsidRPr="00805EDA">
        <w:t>Variations</w:t>
      </w:r>
      <w:bookmarkEnd w:id="255"/>
      <w:bookmarkEnd w:id="256"/>
      <w:bookmarkEnd w:id="257"/>
    </w:p>
    <w:p w:rsidR="00B24D97" w:rsidRPr="00D64309" w:rsidRDefault="00B24D97" w:rsidP="00393846">
      <w:pPr>
        <w:rPr>
          <w:rFonts w:cs="Arial"/>
        </w:rPr>
      </w:pPr>
      <w:r w:rsidRPr="00D64309">
        <w:rPr>
          <w:rFonts w:cs="Arial"/>
        </w:rPr>
        <w:t>This section details variations to the generic claims process</w:t>
      </w:r>
      <w:r w:rsidR="00A22CF4">
        <w:t>.</w:t>
      </w:r>
    </w:p>
    <w:p w:rsidR="00B24D97" w:rsidRPr="00D64309" w:rsidRDefault="00B24D97" w:rsidP="009B13FA">
      <w:pPr>
        <w:pStyle w:val="Heading2"/>
        <w:rPr>
          <w:rFonts w:cs="Arial"/>
        </w:rPr>
      </w:pPr>
      <w:bookmarkStart w:id="258" w:name="RevertPaper"/>
      <w:bookmarkStart w:id="259" w:name="_Reverting_to_Paper"/>
      <w:bookmarkStart w:id="260" w:name="_Toc142277060"/>
      <w:bookmarkStart w:id="261" w:name="_Toc389214853"/>
      <w:bookmarkStart w:id="262" w:name="_Toc396989166"/>
      <w:bookmarkStart w:id="263" w:name="_Toc134427301"/>
      <w:bookmarkStart w:id="264" w:name="_Toc112226864"/>
      <w:bookmarkEnd w:id="258"/>
      <w:bookmarkEnd w:id="259"/>
      <w:r w:rsidRPr="00D64309">
        <w:rPr>
          <w:rFonts w:cs="Arial"/>
        </w:rPr>
        <w:t>Reverting to Paper Process</w:t>
      </w:r>
      <w:bookmarkEnd w:id="260"/>
      <w:bookmarkEnd w:id="261"/>
      <w:bookmarkEnd w:id="262"/>
    </w:p>
    <w:p w:rsidR="00B24D97" w:rsidRPr="00D64309" w:rsidRDefault="00B24D97" w:rsidP="00F12281">
      <w:pPr>
        <w:rPr>
          <w:rFonts w:cs="Arial"/>
        </w:rPr>
      </w:pPr>
      <w:r w:rsidRPr="00D64309">
        <w:rPr>
          <w:rFonts w:cs="Arial"/>
        </w:rPr>
        <w:t xml:space="preserve">Certain circumstances may require a claim initially being processed via ECF, to revert to the current paper-based processing. </w:t>
      </w:r>
      <w:r w:rsidRPr="00624579">
        <w:rPr>
          <w:rFonts w:cs="Arial"/>
        </w:rPr>
        <w:t>The process below can be initiated at the insistence of any one Agreement Party but only as a last resort, unless the specific circumstances that have caused the reversion to paper are due to a problem which means that the claim cannot continue to be handled under ECF. E.g. Split market due to syndicate opt out, commutations of the claim, ex gratia not agreed by all, etc.</w:t>
      </w:r>
    </w:p>
    <w:p w:rsidR="00B24D97" w:rsidRPr="00D64309" w:rsidRDefault="00B24D97" w:rsidP="00F12281">
      <w:pPr>
        <w:rPr>
          <w:rFonts w:cs="Arial"/>
        </w:rPr>
      </w:pPr>
      <w:r w:rsidRPr="00D64309">
        <w:rPr>
          <w:rFonts w:cs="Arial"/>
        </w:rPr>
        <w:t>In order to do this, the agreement parties should contact the broker and advise them of the reason for the issue giving rise to the need to revert to paper. The following process should then be followed:</w:t>
      </w:r>
    </w:p>
    <w:p w:rsidR="00B24D97" w:rsidRPr="00D64309" w:rsidRDefault="00B24D97" w:rsidP="007953B3">
      <w:pPr>
        <w:numPr>
          <w:ilvl w:val="0"/>
          <w:numId w:val="36"/>
        </w:numPr>
        <w:tabs>
          <w:tab w:val="clear" w:pos="1080"/>
          <w:tab w:val="left" w:pos="567"/>
        </w:tabs>
        <w:ind w:left="567" w:hanging="567"/>
        <w:rPr>
          <w:rFonts w:cs="Arial"/>
        </w:rPr>
      </w:pPr>
      <w:r w:rsidRPr="00D64309">
        <w:rPr>
          <w:rFonts w:cs="Arial"/>
        </w:rPr>
        <w:t xml:space="preserve">The broker should create a CLASS transaction </w:t>
      </w:r>
      <w:r w:rsidR="00D72FD0">
        <w:rPr>
          <w:rFonts w:cs="Arial"/>
        </w:rPr>
        <w:t>removing</w:t>
      </w:r>
      <w:r w:rsidRPr="00D64309">
        <w:rPr>
          <w:rFonts w:cs="Arial"/>
        </w:rPr>
        <w:t xml:space="preserve"> the </w:t>
      </w:r>
      <w:r w:rsidR="00D72FD0">
        <w:rPr>
          <w:rFonts w:cs="Arial"/>
        </w:rPr>
        <w:t xml:space="preserve">financials </w:t>
      </w:r>
      <w:r w:rsidRPr="00D64309">
        <w:rPr>
          <w:rFonts w:cs="Arial"/>
        </w:rPr>
        <w:t>and closing the CLASS record. An Explanatory Note should be loaded to the IMR, attached to the transaction. The broker should then create a paper file, using the original paper copies where they exist or printing all of the existing documents on the IMR and then following the normal paper file process.</w:t>
      </w:r>
    </w:p>
    <w:p w:rsidR="00B24D97" w:rsidRPr="00D64309" w:rsidRDefault="00B24D97" w:rsidP="007953B3">
      <w:pPr>
        <w:numPr>
          <w:ilvl w:val="0"/>
          <w:numId w:val="36"/>
        </w:numPr>
        <w:tabs>
          <w:tab w:val="clear" w:pos="1080"/>
          <w:tab w:val="left" w:pos="567"/>
        </w:tabs>
        <w:ind w:left="567" w:hanging="567"/>
        <w:rPr>
          <w:rFonts w:cs="Arial"/>
        </w:rPr>
      </w:pPr>
      <w:r w:rsidRPr="00D64309">
        <w:rPr>
          <w:rFonts w:cs="Arial"/>
        </w:rPr>
        <w:t>The Lead Agreement Party (and subsequent Agreement Parties where appropriate) should respond to the transaction as appropriate.</w:t>
      </w:r>
    </w:p>
    <w:p w:rsidR="00B24D97" w:rsidRPr="00D64309" w:rsidRDefault="00B24D97" w:rsidP="007953B3">
      <w:pPr>
        <w:numPr>
          <w:ilvl w:val="0"/>
          <w:numId w:val="36"/>
        </w:numPr>
        <w:tabs>
          <w:tab w:val="clear" w:pos="1080"/>
          <w:tab w:val="left" w:pos="567"/>
        </w:tabs>
        <w:ind w:left="567" w:hanging="567"/>
        <w:rPr>
          <w:rFonts w:cs="Arial"/>
        </w:rPr>
      </w:pPr>
      <w:r w:rsidRPr="00D64309">
        <w:rPr>
          <w:rFonts w:cs="Arial"/>
        </w:rPr>
        <w:t>XCS will then process the CLASS transaction in XCS CLASS, cancelling and replacing XCRs and CORs where necessary and generating the appropriate SCMs. XCS will then respond to the original broker UCR transaction. Note that the “paid to date” will not normally be reversed out as the whole market will have settled to this point.</w:t>
      </w:r>
    </w:p>
    <w:p w:rsidR="00B24D97" w:rsidRPr="00D64309" w:rsidRDefault="00B24D97" w:rsidP="00F12281">
      <w:pPr>
        <w:rPr>
          <w:rFonts w:cs="Arial"/>
        </w:rPr>
      </w:pPr>
      <w:r w:rsidRPr="00D64309">
        <w:rPr>
          <w:rFonts w:cs="Arial"/>
        </w:rPr>
        <w:t>The transaction will</w:t>
      </w:r>
      <w:r w:rsidR="00805EDA">
        <w:rPr>
          <w:rFonts w:cs="Arial"/>
        </w:rPr>
        <w:t>,</w:t>
      </w:r>
      <w:r w:rsidRPr="00D64309">
        <w:rPr>
          <w:rFonts w:cs="Arial"/>
        </w:rPr>
        <w:t xml:space="preserve"> therefore</w:t>
      </w:r>
      <w:r w:rsidR="00805EDA">
        <w:rPr>
          <w:rFonts w:cs="Arial"/>
        </w:rPr>
        <w:t>,</w:t>
      </w:r>
      <w:r w:rsidRPr="00D64309">
        <w:rPr>
          <w:rFonts w:cs="Arial"/>
        </w:rPr>
        <w:t xml:space="preserve"> return to the paper process from that point onward and the existing documents on the IMR should be printed and circulated accordingly by the broker. It then becomes the Agreement Parties’ responsibility to ensure that all relevant documents </w:t>
      </w:r>
      <w:r w:rsidRPr="00D64309">
        <w:rPr>
          <w:rFonts w:cs="Arial"/>
          <w:b/>
        </w:rPr>
        <w:t>and</w:t>
      </w:r>
      <w:r w:rsidRPr="00D64309">
        <w:rPr>
          <w:rFonts w:cs="Arial"/>
        </w:rPr>
        <w:t xml:space="preserve"> comments are included in the file.</w:t>
      </w:r>
    </w:p>
    <w:p w:rsidR="00B24D97" w:rsidRPr="00D64309" w:rsidRDefault="00B24D97" w:rsidP="00D72FD0">
      <w:pPr>
        <w:rPr>
          <w:rFonts w:cs="Arial"/>
        </w:rPr>
      </w:pPr>
      <w:r w:rsidRPr="00D64309">
        <w:rPr>
          <w:rFonts w:cs="Arial"/>
        </w:rPr>
        <w:t>In the event that the broker does not close down the CLASS record, XCS will take over this function; however the result of this is that the broker will not be able to use the UCR again, removing the opportunity for the claim to become electronic again in the future.</w:t>
      </w:r>
      <w:bookmarkStart w:id="265" w:name="BigIssue"/>
      <w:bookmarkStart w:id="266" w:name="_Toc142277061"/>
      <w:bookmarkEnd w:id="265"/>
    </w:p>
    <w:p w:rsidR="00B24D97" w:rsidRPr="00D64309" w:rsidRDefault="00B24D97" w:rsidP="009B13FA">
      <w:pPr>
        <w:pStyle w:val="Heading2"/>
        <w:rPr>
          <w:rFonts w:cs="Arial"/>
        </w:rPr>
      </w:pPr>
      <w:bookmarkStart w:id="267" w:name="_Toc389214854"/>
      <w:bookmarkStart w:id="268" w:name="_Toc396989167"/>
      <w:r w:rsidRPr="00D64309">
        <w:rPr>
          <w:rFonts w:cs="Arial"/>
        </w:rPr>
        <w:t>Priorities / Claim Urgencies</w:t>
      </w:r>
      <w:bookmarkEnd w:id="266"/>
      <w:bookmarkEnd w:id="267"/>
      <w:bookmarkEnd w:id="268"/>
    </w:p>
    <w:p w:rsidR="00B24D97" w:rsidRPr="00D64309" w:rsidRDefault="00B24D97" w:rsidP="00393846">
      <w:pPr>
        <w:rPr>
          <w:rFonts w:cs="Arial"/>
        </w:rPr>
      </w:pPr>
      <w:r w:rsidRPr="00D64309">
        <w:rPr>
          <w:rFonts w:cs="Arial"/>
        </w:rPr>
        <w:t>There is currently no functionality for brokers to notify claim priorities within ECF. However, it remains the responsibility of the broker to “broke” claims to a carrier and as such a broker should alert Managing Agencies to higher priority claims via telephone, email or face to face as normal.</w:t>
      </w:r>
    </w:p>
    <w:p w:rsidR="00B24D97" w:rsidRPr="00D64309" w:rsidRDefault="00B24D97" w:rsidP="009B13FA">
      <w:pPr>
        <w:pStyle w:val="Heading2"/>
        <w:rPr>
          <w:rFonts w:cs="Arial"/>
        </w:rPr>
      </w:pPr>
      <w:bookmarkStart w:id="269" w:name="_Toc142277062"/>
      <w:bookmarkStart w:id="270" w:name="_Toc389214855"/>
      <w:bookmarkStart w:id="271" w:name="_Toc396989168"/>
      <w:r w:rsidRPr="00D64309">
        <w:rPr>
          <w:rFonts w:cs="Arial"/>
        </w:rPr>
        <w:t>Multi Layer and/or Cross Market Claims</w:t>
      </w:r>
      <w:bookmarkEnd w:id="269"/>
      <w:bookmarkEnd w:id="270"/>
      <w:bookmarkEnd w:id="271"/>
    </w:p>
    <w:p w:rsidR="00B24D97" w:rsidRPr="00D64309" w:rsidRDefault="00B24D97" w:rsidP="006572F9">
      <w:pPr>
        <w:rPr>
          <w:rFonts w:cs="Arial"/>
        </w:rPr>
      </w:pPr>
      <w:r w:rsidRPr="00D64309">
        <w:rPr>
          <w:rFonts w:cs="Arial"/>
        </w:rPr>
        <w:t>Where Agreement Party comments on an underlying layer are pertinent to the handling of an excess layer claim, the leader of the excess layer(s) should request the broker to obtain and add the comments of the underlying layer leader to the excess layer claim, providing that the underlying layer leader approves the release of the comments, as per today’s paper process.</w:t>
      </w:r>
    </w:p>
    <w:p w:rsidR="00B24D97" w:rsidRDefault="00B24D97" w:rsidP="006572F9">
      <w:pPr>
        <w:rPr>
          <w:rFonts w:cs="Arial"/>
        </w:rPr>
      </w:pPr>
      <w:r w:rsidRPr="00D64309">
        <w:rPr>
          <w:rFonts w:cs="Arial"/>
        </w:rPr>
        <w:t xml:space="preserve">Agreement Parties may </w:t>
      </w:r>
      <w:r w:rsidR="00805EDA">
        <w:rPr>
          <w:rFonts w:cs="Arial"/>
        </w:rPr>
        <w:t>‘</w:t>
      </w:r>
      <w:r w:rsidRPr="00D64309">
        <w:rPr>
          <w:rFonts w:cs="Arial"/>
        </w:rPr>
        <w:t>query/return</w:t>
      </w:r>
      <w:r w:rsidR="00805EDA">
        <w:rPr>
          <w:rFonts w:cs="Arial"/>
        </w:rPr>
        <w:t>’</w:t>
      </w:r>
      <w:r w:rsidRPr="00D64309">
        <w:rPr>
          <w:rFonts w:cs="Arial"/>
        </w:rPr>
        <w:t xml:space="preserve"> any transaction when they require further information, including slip lead comments in cross-market claims where the slip lead is not an ECF User. Brokers may respond to the queried transaction where appropriate.</w:t>
      </w:r>
    </w:p>
    <w:p w:rsidR="00B24D97" w:rsidRPr="00D64309" w:rsidRDefault="00B24D97" w:rsidP="009B13FA">
      <w:pPr>
        <w:pStyle w:val="Heading2"/>
        <w:rPr>
          <w:rFonts w:cs="Arial"/>
        </w:rPr>
      </w:pPr>
      <w:bookmarkStart w:id="272" w:name="MultipleOSNDs"/>
      <w:bookmarkStart w:id="273" w:name="_Multiple_OSNDs"/>
      <w:bookmarkStart w:id="274" w:name="_Toc389214856"/>
      <w:bookmarkStart w:id="275" w:name="_Toc396989169"/>
      <w:bookmarkEnd w:id="272"/>
      <w:bookmarkEnd w:id="273"/>
      <w:r w:rsidRPr="00D64309">
        <w:rPr>
          <w:rFonts w:cs="Arial"/>
        </w:rPr>
        <w:lastRenderedPageBreak/>
        <w:t>Multiple OSNDs</w:t>
      </w:r>
      <w:bookmarkEnd w:id="274"/>
      <w:bookmarkEnd w:id="275"/>
    </w:p>
    <w:p w:rsidR="00B24D97" w:rsidRPr="00D64309" w:rsidRDefault="00B24D97" w:rsidP="00071ADD">
      <w:pPr>
        <w:rPr>
          <w:rFonts w:cs="Arial"/>
        </w:rPr>
      </w:pPr>
      <w:r w:rsidRPr="00D64309">
        <w:rPr>
          <w:rFonts w:cs="Arial"/>
        </w:rPr>
        <w:t>Claims arising on risks where the slip contains multiple Original Signing Numbers and Dates, but the components of the claim are submitted as part of a single UCR can be handled under ECF. e.g. multiple OSNDs purely to support different settlement currencies presented within a single UCR.</w:t>
      </w:r>
    </w:p>
    <w:p w:rsidR="00B24D97" w:rsidRPr="00D64309" w:rsidRDefault="00B24D97" w:rsidP="00071ADD">
      <w:pPr>
        <w:rPr>
          <w:rFonts w:cs="Arial"/>
        </w:rPr>
      </w:pPr>
      <w:r w:rsidRPr="00D64309">
        <w:rPr>
          <w:rFonts w:cs="Arial"/>
        </w:rPr>
        <w:t>Similarly, claims on which the slip contains multiple Original Signing Numbers and Dates where the claim only affects one of the OSNDs can also be presented under ECF.</w:t>
      </w:r>
      <w:r w:rsidR="0031627C" w:rsidRPr="00D64309">
        <w:rPr>
          <w:rFonts w:cs="Arial"/>
        </w:rPr>
        <w:t xml:space="preserve"> </w:t>
      </w:r>
    </w:p>
    <w:p w:rsidR="00B24D97" w:rsidRPr="00D64309" w:rsidRDefault="004C3649" w:rsidP="00071ADD">
      <w:pPr>
        <w:rPr>
          <w:rFonts w:cs="Arial"/>
        </w:rPr>
      </w:pPr>
      <w:r w:rsidRPr="004C3649">
        <w:rPr>
          <w:rFonts w:cs="Arial"/>
        </w:rPr>
        <w:t>However, claims arising on risks where the slip contains more than one Original Signing Number and Date and the component parts of the claim, which must be handled together, are presented under separate UCRs, should not be presented under ECF until further notice. The reason that these claims are excluded from ECF is because where the separate components are advised under separate UCRs, there is a substantial risk that the different components will be not be handled together, particularly if they are not released to other Agreement Parties simultaneously.</w:t>
      </w:r>
    </w:p>
    <w:p w:rsidR="00B24D97" w:rsidRPr="00D64309" w:rsidRDefault="00B24D97" w:rsidP="00071ADD">
      <w:pPr>
        <w:rPr>
          <w:rFonts w:cs="Arial"/>
        </w:rPr>
      </w:pPr>
      <w:r w:rsidRPr="00D64309">
        <w:rPr>
          <w:rFonts w:cs="Arial"/>
        </w:rPr>
        <w:t>In practical terms, this means that any claims, for which a broker may currently present an individual paper file requiring individual adjustment, may be processed via ECF.</w:t>
      </w:r>
    </w:p>
    <w:p w:rsidR="00B24D97" w:rsidRPr="00D64309" w:rsidRDefault="00B24D97" w:rsidP="00071ADD">
      <w:pPr>
        <w:rPr>
          <w:rFonts w:cs="Arial"/>
        </w:rPr>
      </w:pPr>
      <w:r w:rsidRPr="00D64309">
        <w:rPr>
          <w:rFonts w:cs="Arial"/>
        </w:rPr>
        <w:t>Whereas claims for which a broker currently presents multiple paper files requiring a single group adjustment, should be handled outside of ECF.</w:t>
      </w:r>
    </w:p>
    <w:p w:rsidR="00B24D97" w:rsidRPr="00D64309" w:rsidRDefault="00B24D97" w:rsidP="009B13FA">
      <w:pPr>
        <w:pStyle w:val="Heading2"/>
        <w:rPr>
          <w:rFonts w:cs="Arial"/>
        </w:rPr>
      </w:pPr>
      <w:bookmarkStart w:id="276" w:name="_Toc389214857"/>
      <w:bookmarkStart w:id="277" w:name="_Toc396989170"/>
      <w:bookmarkStart w:id="278" w:name="_Toc134427304"/>
      <w:bookmarkStart w:id="279" w:name="_Toc142277066"/>
      <w:bookmarkEnd w:id="263"/>
      <w:r w:rsidRPr="00D64309">
        <w:rPr>
          <w:rFonts w:cs="Arial"/>
        </w:rPr>
        <w:t>Political Risks</w:t>
      </w:r>
      <w:bookmarkEnd w:id="276"/>
      <w:bookmarkEnd w:id="277"/>
    </w:p>
    <w:p w:rsidR="00354BF8" w:rsidRPr="00D64309" w:rsidRDefault="00B24D97" w:rsidP="000D0C1D">
      <w:pPr>
        <w:rPr>
          <w:rFonts w:cs="Arial"/>
        </w:rPr>
      </w:pPr>
      <w:r w:rsidRPr="00D64309">
        <w:rPr>
          <w:rFonts w:cs="Arial"/>
        </w:rPr>
        <w:t xml:space="preserve">Claims arising from Political Risks can be processed via ECF. Where appropriate, the </w:t>
      </w:r>
      <w:r w:rsidR="004C3649" w:rsidRPr="005B7AFD">
        <w:rPr>
          <w:rFonts w:cs="Arial"/>
        </w:rPr>
        <w:t xml:space="preserve">Confidential Reports process </w:t>
      </w:r>
      <w:r w:rsidR="004C3649" w:rsidRPr="003F0AC2">
        <w:rPr>
          <w:rFonts w:cs="Arial"/>
        </w:rPr>
        <w:t>(see section</w:t>
      </w:r>
      <w:r w:rsidR="003F0AC2" w:rsidRPr="003F0AC2">
        <w:rPr>
          <w:rFonts w:cs="Arial"/>
        </w:rPr>
        <w:t xml:space="preserve"> </w:t>
      </w:r>
      <w:hyperlink w:anchor="_Toc390092776" w:history="1">
        <w:r w:rsidR="003F0AC2" w:rsidRPr="003F0AC2">
          <w:rPr>
            <w:rStyle w:val="Hyperlink"/>
            <w:rFonts w:cs="Arial"/>
          </w:rPr>
          <w:t>2.5.3</w:t>
        </w:r>
      </w:hyperlink>
      <w:r w:rsidR="005B7AFD" w:rsidRPr="003F0AC2">
        <w:rPr>
          <w:rFonts w:cs="Arial"/>
        </w:rPr>
        <w:t>)</w:t>
      </w:r>
      <w:r w:rsidRPr="00D64309">
        <w:rPr>
          <w:rFonts w:cs="Arial"/>
        </w:rPr>
        <w:t xml:space="preserve"> and the Leaders’ Reserves process </w:t>
      </w:r>
      <w:r w:rsidR="004C3649" w:rsidRPr="003F0AC2">
        <w:rPr>
          <w:rFonts w:cs="Arial"/>
        </w:rPr>
        <w:t>(see sectio</w:t>
      </w:r>
      <w:r w:rsidR="003F0AC2">
        <w:rPr>
          <w:rFonts w:cs="Arial"/>
        </w:rPr>
        <w:t xml:space="preserve">n </w:t>
      </w:r>
      <w:hyperlink w:anchor="_Reserving_as_a" w:history="1">
        <w:r w:rsidR="003F0AC2" w:rsidRPr="003F0AC2">
          <w:rPr>
            <w:rStyle w:val="Hyperlink"/>
            <w:rFonts w:cs="Arial"/>
          </w:rPr>
          <w:t>2.7</w:t>
        </w:r>
      </w:hyperlink>
      <w:r w:rsidR="004C3649" w:rsidRPr="003F0AC2">
        <w:rPr>
          <w:rFonts w:cs="Arial"/>
        </w:rPr>
        <w:t>)</w:t>
      </w:r>
      <w:r w:rsidRPr="00D64309">
        <w:rPr>
          <w:rFonts w:cs="Arial"/>
        </w:rPr>
        <w:t xml:space="preserve"> should be used. </w:t>
      </w:r>
      <w:r w:rsidRPr="00D64309">
        <w:rPr>
          <w:rFonts w:cs="Arial"/>
          <w:b/>
        </w:rPr>
        <w:t>Additionally, where the sensitivity of certain exceptional documents is such that insurers would not want the document stored on any computer system, the document content should be shared with the relevant insurers in an appropriate manner and should not be stored on the IMR.</w:t>
      </w:r>
    </w:p>
    <w:p w:rsidR="00B24D97" w:rsidRPr="00D64309" w:rsidRDefault="00B24D97" w:rsidP="009B13FA">
      <w:pPr>
        <w:pStyle w:val="Heading2"/>
        <w:rPr>
          <w:rFonts w:cs="Arial"/>
        </w:rPr>
      </w:pPr>
      <w:bookmarkStart w:id="280" w:name="_Toc389214858"/>
      <w:bookmarkStart w:id="281" w:name="_Toc396989171"/>
      <w:r w:rsidRPr="00D64309">
        <w:rPr>
          <w:rFonts w:cs="Arial"/>
        </w:rPr>
        <w:t>Kidnap &amp; Ransom</w:t>
      </w:r>
      <w:bookmarkEnd w:id="278"/>
      <w:bookmarkEnd w:id="279"/>
      <w:bookmarkEnd w:id="280"/>
      <w:bookmarkEnd w:id="281"/>
    </w:p>
    <w:p w:rsidR="00B24D97" w:rsidRPr="00D64309" w:rsidRDefault="00B24D97" w:rsidP="00393846">
      <w:pPr>
        <w:rPr>
          <w:rFonts w:cs="Arial"/>
        </w:rPr>
      </w:pPr>
      <w:r w:rsidRPr="00D64309">
        <w:rPr>
          <w:rFonts w:cs="Arial"/>
        </w:rPr>
        <w:t>Reporting on Kidnap &amp; Ransom (K&amp;R) claims has traditionally been direct to the Lead Agreement Party with no other parties privileged to the verbal and/or written reports. The broker is advised of the codename of the claim and any reserves or payments which need to be made. Due to the sensitive nature of the information involved in these claims any written reports will not be lodged on the Insurers’ Market Repository but instead will be retained by the Lead Agreement Party, as per today’s paper process.</w:t>
      </w:r>
    </w:p>
    <w:p w:rsidR="00B24D97" w:rsidRPr="00D64309" w:rsidRDefault="00B24D97" w:rsidP="00393846">
      <w:pPr>
        <w:rPr>
          <w:rFonts w:cs="Arial"/>
        </w:rPr>
      </w:pPr>
      <w:r w:rsidRPr="00D64309">
        <w:rPr>
          <w:rFonts w:cs="Arial"/>
        </w:rPr>
        <w:t xml:space="preserve">Although limited information will be available to the broker, this documentation, together with any reserves and payments, should be presented electronically as per the standard process. If information is received by the Lead Agreement Party which will result in a change to the incurred position, and if this change can be notified via the broker, the Lead Agreement Party will arrange for a new CLASS@Lloyd’s transaction to be raised via the broker. If this change cannot be notified via the broker the confidential reporting process detailed in </w:t>
      </w:r>
      <w:hyperlink w:anchor="_Toc390092776" w:history="1">
        <w:r w:rsidR="003F0AC2" w:rsidRPr="003F0AC2">
          <w:rPr>
            <w:rStyle w:val="Hyperlink"/>
            <w:rFonts w:cs="Arial"/>
          </w:rPr>
          <w:t>2.5.3</w:t>
        </w:r>
      </w:hyperlink>
      <w:r w:rsidR="003F0AC2">
        <w:rPr>
          <w:rFonts w:cs="Arial"/>
        </w:rPr>
        <w:t xml:space="preserve"> </w:t>
      </w:r>
      <w:r w:rsidRPr="00D64309">
        <w:rPr>
          <w:rFonts w:cs="Arial"/>
        </w:rPr>
        <w:t>will apply.</w:t>
      </w:r>
    </w:p>
    <w:p w:rsidR="00B24D97" w:rsidRPr="00D64309" w:rsidRDefault="00B24D97" w:rsidP="00393846">
      <w:pPr>
        <w:rPr>
          <w:rFonts w:cs="Arial"/>
        </w:rPr>
      </w:pPr>
      <w:r w:rsidRPr="00D64309">
        <w:rPr>
          <w:rFonts w:cs="Arial"/>
        </w:rPr>
        <w:t>It is not anticipated that any block entries should be submitted as K&amp;R claims are normally advised on an individual basis. However, if a block entry is required please refer to the relevant section of this document for the process and procedures.</w:t>
      </w:r>
    </w:p>
    <w:p w:rsidR="00B24D97" w:rsidRDefault="00B24D97" w:rsidP="00393846">
      <w:pPr>
        <w:rPr>
          <w:rFonts w:cs="Arial"/>
        </w:rPr>
      </w:pPr>
      <w:r w:rsidRPr="00D64309">
        <w:rPr>
          <w:rFonts w:cs="Arial"/>
        </w:rPr>
        <w:t>It should be noted that the above method does not provide brokers and/or followers with any more information than they would receive via the legacy (paper based) process.</w:t>
      </w:r>
    </w:p>
    <w:p w:rsidR="00A27626" w:rsidRPr="00A27626" w:rsidRDefault="00A27626" w:rsidP="00805EDA">
      <w:pPr>
        <w:pStyle w:val="Heading2"/>
      </w:pPr>
      <w:bookmarkStart w:id="282" w:name="_Toc389214859"/>
      <w:bookmarkStart w:id="283" w:name="_Toc396989172"/>
      <w:r w:rsidRPr="00A27626">
        <w:t>Space</w:t>
      </w:r>
      <w:bookmarkEnd w:id="282"/>
      <w:bookmarkEnd w:id="283"/>
    </w:p>
    <w:p w:rsidR="00A27626" w:rsidRPr="00D64309" w:rsidRDefault="00A27626" w:rsidP="00A27626">
      <w:pPr>
        <w:rPr>
          <w:rFonts w:cs="Arial"/>
        </w:rPr>
      </w:pPr>
      <w:r w:rsidRPr="00D64309">
        <w:rPr>
          <w:rFonts w:cs="Arial"/>
        </w:rPr>
        <w:t xml:space="preserve">Reporting on Space claims has traditionally been direct to all Agreement Parties with no other parties privileged to the verbal and/or written reports. The broker will be advised of the claims and may be the recipient of documentation relating to that claim. Most, though not all, of the documentation will be subject to the International Traffic in Arms Regulations (ITAR). </w:t>
      </w:r>
    </w:p>
    <w:p w:rsidR="00A27626" w:rsidRPr="00D64309" w:rsidRDefault="00A27626" w:rsidP="00A27626">
      <w:pPr>
        <w:rPr>
          <w:rFonts w:cs="Arial"/>
        </w:rPr>
      </w:pPr>
      <w:r w:rsidRPr="00D64309">
        <w:rPr>
          <w:rFonts w:cs="Arial"/>
        </w:rPr>
        <w:lastRenderedPageBreak/>
        <w:t>(Due to ITAR restrictions it might not be possible to lodge some documents on the Insurers Market Repository. In these cases the documents will be retained by the agreement parties in accordance with the existing paper process and the broker will prepare and load a CLASS@Lloyd’s transaction together with any reserves and payments information and present it in accordance with the standard process. Notwithstanding Repository Rule 6.1 users must ensure that Repository Rule 2 is complied with.)</w:t>
      </w:r>
    </w:p>
    <w:p w:rsidR="00A27626" w:rsidRPr="00D64309" w:rsidRDefault="00A27626" w:rsidP="00A27626">
      <w:pPr>
        <w:rPr>
          <w:rFonts w:cs="Arial"/>
        </w:rPr>
      </w:pPr>
      <w:r w:rsidRPr="00D64309">
        <w:rPr>
          <w:rFonts w:cs="Arial"/>
        </w:rPr>
        <w:t xml:space="preserve">If information is received by the Agreement Parties which will result in a change to the incurred position, and if this change can be notified via the broker, the Agreement Parties will arrange for a new CLASS@Lloyd’s transaction to be raised via the broker. If this change cannot be notified via the broker the confidential reporting process detailed </w:t>
      </w:r>
      <w:r w:rsidRPr="003F0AC2">
        <w:rPr>
          <w:rFonts w:cs="Arial"/>
        </w:rPr>
        <w:t xml:space="preserve">in </w:t>
      </w:r>
      <w:hyperlink w:anchor="_Toc390092776" w:history="1">
        <w:r w:rsidR="003F0AC2" w:rsidRPr="003F0AC2">
          <w:rPr>
            <w:rStyle w:val="Hyperlink"/>
            <w:rFonts w:cs="Arial"/>
          </w:rPr>
          <w:t>2.5.3</w:t>
        </w:r>
      </w:hyperlink>
      <w:r w:rsidR="003F0AC2">
        <w:rPr>
          <w:rFonts w:cs="Arial"/>
        </w:rPr>
        <w:t xml:space="preserve"> </w:t>
      </w:r>
      <w:r w:rsidRPr="00D64309">
        <w:rPr>
          <w:rFonts w:cs="Arial"/>
        </w:rPr>
        <w:t xml:space="preserve">will apply. This may include the loading of non-ITAR regulated documents such as the fee invoices of underwriters’ experts. </w:t>
      </w:r>
    </w:p>
    <w:p w:rsidR="00A27626" w:rsidRDefault="00A27626" w:rsidP="00A27626">
      <w:pPr>
        <w:rPr>
          <w:rFonts w:cs="Arial"/>
        </w:rPr>
      </w:pPr>
      <w:r w:rsidRPr="00D64309">
        <w:rPr>
          <w:rFonts w:cs="Arial"/>
        </w:rPr>
        <w:t>It is not anticipated that any block entries should be submitted as Space claims are normally advised on an individual basis. However, if a block entry is required please refer to the relevant section of this document for the process and procedures. It should be noted that the above method does not provide brokers and/or followers with any more information than they would receive via the legacy (paper based) process.</w:t>
      </w:r>
    </w:p>
    <w:p w:rsidR="00A27626" w:rsidRPr="00E517DB" w:rsidRDefault="00A27626" w:rsidP="00E517DB">
      <w:pPr>
        <w:pStyle w:val="Heading2"/>
      </w:pPr>
      <w:bookmarkStart w:id="284" w:name="_Toc389214860"/>
      <w:bookmarkStart w:id="285" w:name="_Toc396989173"/>
      <w:r w:rsidRPr="00E517DB">
        <w:t>Bloodstock</w:t>
      </w:r>
      <w:bookmarkEnd w:id="284"/>
      <w:bookmarkEnd w:id="285"/>
      <w:r w:rsidRPr="00E517DB">
        <w:t xml:space="preserve">  </w:t>
      </w:r>
    </w:p>
    <w:p w:rsidR="00A27626" w:rsidRPr="00D64309" w:rsidRDefault="00A27626" w:rsidP="00A27626">
      <w:pPr>
        <w:rPr>
          <w:rFonts w:cs="Arial"/>
        </w:rPr>
      </w:pPr>
      <w:r w:rsidRPr="00D64309">
        <w:rPr>
          <w:rFonts w:cs="Arial"/>
          <w:iCs/>
        </w:rPr>
        <w:t>All mortality claims where they are in scope are to be entered on to ECF / IMR with reserves to be carried on CLASS as indicated by the leading underwriter. The broker will liaise with the leading underwriter to determine whether any other notifications of any injury, illness or disease as further defined in the policy wording are required to be entered on to ECF and will determine whether a precautionary reserve is to be entered on to CLASS.</w:t>
      </w:r>
    </w:p>
    <w:p w:rsidR="00B24D97" w:rsidRPr="00D64309" w:rsidRDefault="00B24D97" w:rsidP="009B13FA">
      <w:pPr>
        <w:pStyle w:val="Heading2"/>
        <w:rPr>
          <w:rFonts w:cs="Arial"/>
        </w:rPr>
      </w:pPr>
      <w:bookmarkStart w:id="286" w:name="_Toc134427307"/>
      <w:bookmarkStart w:id="287" w:name="_Toc142277068"/>
      <w:bookmarkStart w:id="288" w:name="_Toc389214861"/>
      <w:bookmarkStart w:id="289" w:name="_Toc396989174"/>
      <w:r w:rsidRPr="00D64309">
        <w:rPr>
          <w:rFonts w:cs="Arial"/>
        </w:rPr>
        <w:t>Binding Authorities</w:t>
      </w:r>
      <w:bookmarkEnd w:id="264"/>
      <w:bookmarkEnd w:id="286"/>
      <w:bookmarkEnd w:id="287"/>
      <w:bookmarkEnd w:id="288"/>
      <w:bookmarkEnd w:id="289"/>
    </w:p>
    <w:p w:rsidR="00B24D97" w:rsidRPr="00D64309" w:rsidRDefault="00B24D97" w:rsidP="00EE1516">
      <w:pPr>
        <w:rPr>
          <w:rFonts w:cs="Arial"/>
        </w:rPr>
      </w:pPr>
      <w:r w:rsidRPr="00D64309">
        <w:rPr>
          <w:rFonts w:cs="Arial"/>
        </w:rPr>
        <w:t>Binding authorities (with the exception of “co-lead binders” as described below, which cannot currently be supported)</w:t>
      </w:r>
      <w:r w:rsidRPr="00D64309" w:rsidDel="003822C3">
        <w:rPr>
          <w:rFonts w:cs="Arial"/>
        </w:rPr>
        <w:t xml:space="preserve"> </w:t>
      </w:r>
      <w:r w:rsidRPr="00D64309">
        <w:rPr>
          <w:rFonts w:cs="Arial"/>
        </w:rPr>
        <w:t xml:space="preserve">can be processed via ECF in the following manner </w:t>
      </w:r>
      <w:r w:rsidRPr="00D64309">
        <w:rPr>
          <w:rFonts w:cs="Arial"/>
          <w:b/>
        </w:rPr>
        <w:t>(note that certificates should be loaded to the UCR folder for binders)</w:t>
      </w:r>
      <w:r w:rsidRPr="00D64309">
        <w:rPr>
          <w:rFonts w:cs="Arial"/>
        </w:rPr>
        <w:t>:</w:t>
      </w:r>
    </w:p>
    <w:p w:rsidR="00B24D97" w:rsidRPr="00D64309" w:rsidRDefault="00B24D97" w:rsidP="00E517DB">
      <w:pPr>
        <w:pStyle w:val="Heading3"/>
        <w:rPr>
          <w:rFonts w:cs="Arial"/>
        </w:rPr>
      </w:pPr>
      <w:bookmarkStart w:id="290" w:name="BinderFirstAdvice"/>
      <w:bookmarkStart w:id="291" w:name="_Toc389214862"/>
      <w:bookmarkStart w:id="292" w:name="_Toc396989175"/>
      <w:bookmarkEnd w:id="290"/>
      <w:r w:rsidRPr="00D64309">
        <w:rPr>
          <w:rFonts w:cs="Arial"/>
        </w:rPr>
        <w:t>Advice of the bordereaux</w:t>
      </w:r>
      <w:bookmarkEnd w:id="291"/>
      <w:bookmarkEnd w:id="292"/>
    </w:p>
    <w:p w:rsidR="00B24D97" w:rsidRPr="00D64309" w:rsidRDefault="00B24D97" w:rsidP="00EE1516">
      <w:pPr>
        <w:rPr>
          <w:rFonts w:cs="Arial"/>
        </w:rPr>
      </w:pPr>
      <w:r w:rsidRPr="00D64309">
        <w:rPr>
          <w:rFonts w:cs="Arial"/>
        </w:rPr>
        <w:t>It is best practice for a broker to submit a bordereaux UCR before the first individual claim.</w:t>
      </w:r>
    </w:p>
    <w:p w:rsidR="00B24D97" w:rsidRPr="00D64309" w:rsidRDefault="00B24D97" w:rsidP="00E517DB">
      <w:pPr>
        <w:numPr>
          <w:ilvl w:val="0"/>
          <w:numId w:val="28"/>
        </w:numPr>
        <w:tabs>
          <w:tab w:val="num" w:pos="567"/>
        </w:tabs>
        <w:spacing w:after="120"/>
        <w:rPr>
          <w:rFonts w:cs="Arial"/>
        </w:rPr>
      </w:pPr>
      <w:r w:rsidRPr="00D64309">
        <w:rPr>
          <w:rFonts w:cs="Arial"/>
        </w:rPr>
        <w:t xml:space="preserve">The broker </w:t>
      </w:r>
      <w:r w:rsidRPr="00D64309">
        <w:rPr>
          <w:rFonts w:cs="Arial"/>
          <w:b/>
        </w:rPr>
        <w:t>must</w:t>
      </w:r>
      <w:r w:rsidRPr="00D64309">
        <w:rPr>
          <w:rFonts w:cs="Arial"/>
        </w:rPr>
        <w:t xml:space="preserve"> create a CLASS transaction for the “paid” and “outstanding” and load a copy of the bordereaux to the IMR, attached to the transaction. This may include a settlement.</w:t>
      </w:r>
    </w:p>
    <w:p w:rsidR="00B24D97" w:rsidRPr="00D64309" w:rsidRDefault="00B24D97" w:rsidP="00E517DB">
      <w:pPr>
        <w:numPr>
          <w:ilvl w:val="0"/>
          <w:numId w:val="28"/>
        </w:numPr>
        <w:tabs>
          <w:tab w:val="num" w:pos="567"/>
        </w:tabs>
        <w:spacing w:after="120"/>
        <w:rPr>
          <w:rFonts w:cs="Arial"/>
        </w:rPr>
      </w:pPr>
      <w:r w:rsidRPr="00D64309">
        <w:rPr>
          <w:rFonts w:cs="Arial"/>
        </w:rPr>
        <w:t>Lead Agreement Parties (and subsequent Agreement Parties where appropriate) should respond to this transaction in the usual way.</w:t>
      </w:r>
    </w:p>
    <w:p w:rsidR="00B24D97" w:rsidRPr="00D64309" w:rsidRDefault="00B24D97" w:rsidP="00E517DB">
      <w:pPr>
        <w:numPr>
          <w:ilvl w:val="0"/>
          <w:numId w:val="28"/>
        </w:numPr>
        <w:tabs>
          <w:tab w:val="num" w:pos="567"/>
        </w:tabs>
        <w:spacing w:after="120"/>
        <w:rPr>
          <w:rFonts w:cs="Arial"/>
        </w:rPr>
      </w:pPr>
      <w:r w:rsidRPr="00D64309">
        <w:rPr>
          <w:rFonts w:cs="Arial"/>
        </w:rPr>
        <w:t>XCS will then process the CLASS transaction and will generate an initial SCM to establish the outstanding/incurred. XCS will then proc</w:t>
      </w:r>
      <w:r w:rsidR="00155CEC">
        <w:rPr>
          <w:rFonts w:cs="Arial"/>
        </w:rPr>
        <w:t>ess the settlement, generating</w:t>
      </w:r>
      <w:r w:rsidRPr="00D64309">
        <w:rPr>
          <w:rFonts w:cs="Arial"/>
        </w:rPr>
        <w:t xml:space="preserve"> USM, BSM </w:t>
      </w:r>
      <w:r w:rsidR="00155CEC">
        <w:rPr>
          <w:rFonts w:cs="Arial"/>
        </w:rPr>
        <w:t>holding and producing the settlement and relating reserve within one SCM. XCS</w:t>
      </w:r>
      <w:r w:rsidRPr="00D64309">
        <w:rPr>
          <w:rFonts w:cs="Arial"/>
        </w:rPr>
        <w:t xml:space="preserve"> will then respond to the original broker-created UCR transaction.</w:t>
      </w:r>
    </w:p>
    <w:p w:rsidR="00E517DB" w:rsidRPr="00E517DB" w:rsidRDefault="00B24D97" w:rsidP="00E517DB">
      <w:pPr>
        <w:numPr>
          <w:ilvl w:val="0"/>
          <w:numId w:val="28"/>
        </w:numPr>
        <w:tabs>
          <w:tab w:val="num" w:pos="567"/>
        </w:tabs>
        <w:spacing w:before="120" w:after="120"/>
        <w:ind w:left="357" w:hanging="357"/>
        <w:rPr>
          <w:rFonts w:cs="Arial"/>
        </w:rPr>
      </w:pPr>
      <w:r w:rsidRPr="00D64309">
        <w:rPr>
          <w:rFonts w:cs="Arial"/>
        </w:rPr>
        <w:t>Subsequent advices should follow the above process.</w:t>
      </w:r>
    </w:p>
    <w:p w:rsidR="00B24D97" w:rsidRPr="00E517DB" w:rsidRDefault="00B24D97" w:rsidP="00E517DB">
      <w:pPr>
        <w:pStyle w:val="Heading3"/>
      </w:pPr>
      <w:bookmarkStart w:id="293" w:name="_Toc389214863"/>
      <w:bookmarkStart w:id="294" w:name="_Toc396989176"/>
      <w:r w:rsidRPr="00E517DB">
        <w:t>Advice of loss funds</w:t>
      </w:r>
      <w:bookmarkEnd w:id="293"/>
      <w:bookmarkEnd w:id="294"/>
    </w:p>
    <w:p w:rsidR="00B24D97" w:rsidRPr="00D64309" w:rsidRDefault="00B24D97" w:rsidP="00EE1516">
      <w:pPr>
        <w:rPr>
          <w:rFonts w:cs="Arial"/>
        </w:rPr>
      </w:pPr>
      <w:r w:rsidRPr="00D64309">
        <w:rPr>
          <w:rFonts w:cs="Arial"/>
        </w:rPr>
        <w:t>These should be processed on a UCR set up specifically for the loss fund and should be separate to the bordereaux UCR. The process for establishing the loss fund is the same as the process for the processing of bordereaux (see above).</w:t>
      </w:r>
    </w:p>
    <w:p w:rsidR="00B24D97" w:rsidRPr="00D64309" w:rsidRDefault="00B24D97" w:rsidP="009B13FA">
      <w:pPr>
        <w:pStyle w:val="Heading3"/>
        <w:rPr>
          <w:rFonts w:cs="Arial"/>
        </w:rPr>
      </w:pPr>
      <w:bookmarkStart w:id="295" w:name="BinderFirstAdviceIndivSingleton"/>
      <w:bookmarkStart w:id="296" w:name="_First_Advice_of"/>
      <w:bookmarkStart w:id="297" w:name="_Toc389214864"/>
      <w:bookmarkStart w:id="298" w:name="_Toc396989177"/>
      <w:bookmarkEnd w:id="295"/>
      <w:bookmarkEnd w:id="296"/>
      <w:r w:rsidRPr="00D64309">
        <w:rPr>
          <w:rFonts w:cs="Arial"/>
        </w:rPr>
        <w:t>First Advice of Above Authority (Individual) Claim</w:t>
      </w:r>
      <w:bookmarkEnd w:id="297"/>
      <w:bookmarkEnd w:id="298"/>
    </w:p>
    <w:p w:rsidR="00B24D97" w:rsidRPr="00D64309" w:rsidRDefault="00B24D97" w:rsidP="007953B3">
      <w:pPr>
        <w:numPr>
          <w:ilvl w:val="1"/>
          <w:numId w:val="34"/>
        </w:numPr>
        <w:tabs>
          <w:tab w:val="clear" w:pos="1800"/>
          <w:tab w:val="num" w:pos="567"/>
        </w:tabs>
        <w:ind w:left="567" w:hanging="567"/>
        <w:rPr>
          <w:rFonts w:cs="Arial"/>
        </w:rPr>
      </w:pPr>
      <w:r w:rsidRPr="00D64309">
        <w:rPr>
          <w:rFonts w:cs="Arial"/>
        </w:rPr>
        <w:t xml:space="preserve">The broker </w:t>
      </w:r>
      <w:r w:rsidRPr="00D64309">
        <w:rPr>
          <w:rFonts w:cs="Arial"/>
          <w:b/>
        </w:rPr>
        <w:t>must</w:t>
      </w:r>
      <w:r w:rsidRPr="00D64309">
        <w:rPr>
          <w:rFonts w:cs="Arial"/>
        </w:rPr>
        <w:t xml:space="preserve"> create a new UCR with an incurred of zero and attach the relevant documents to the IMR. The broker should state the current outstanding and any settlement request in the broker narrative. If the broker has not already submitted a bordereaux UCR (see above), t</w:t>
      </w:r>
      <w:r w:rsidR="00870302">
        <w:rPr>
          <w:rFonts w:cs="Arial"/>
        </w:rPr>
        <w:t>hey should do so at this point.</w:t>
      </w:r>
      <w:r w:rsidRPr="00D64309">
        <w:rPr>
          <w:rFonts w:cs="Arial"/>
        </w:rPr>
        <w:t xml:space="preserve"> It is recommended as best practice that the relevant claim specific activity described </w:t>
      </w:r>
      <w:r w:rsidR="005B7AFD">
        <w:rPr>
          <w:rFonts w:cs="Arial"/>
        </w:rPr>
        <w:t>above</w:t>
      </w:r>
      <w:r w:rsidRPr="00D64309">
        <w:rPr>
          <w:rFonts w:cs="Arial"/>
        </w:rPr>
        <w:t xml:space="preserve"> is conducted as part of the binder set up, following placement.</w:t>
      </w:r>
    </w:p>
    <w:p w:rsidR="00B24D97" w:rsidRPr="00D64309" w:rsidRDefault="00B24D97" w:rsidP="007953B3">
      <w:pPr>
        <w:numPr>
          <w:ilvl w:val="1"/>
          <w:numId w:val="34"/>
        </w:numPr>
        <w:tabs>
          <w:tab w:val="clear" w:pos="1800"/>
          <w:tab w:val="num" w:pos="567"/>
        </w:tabs>
        <w:ind w:left="567" w:hanging="567"/>
        <w:rPr>
          <w:rFonts w:cs="Arial"/>
        </w:rPr>
      </w:pPr>
      <w:r w:rsidRPr="00D64309">
        <w:rPr>
          <w:rFonts w:cs="Arial"/>
          <w:b/>
        </w:rPr>
        <w:lastRenderedPageBreak/>
        <w:t xml:space="preserve">Subscription binders - </w:t>
      </w:r>
      <w:r w:rsidRPr="00D64309">
        <w:rPr>
          <w:rFonts w:cs="Arial"/>
        </w:rPr>
        <w:t>The Lead Agreement Party should review the transaction and respond to the transaction in the usual manner, entering any public comments as appropriate. The transaction will then be routed to XCS who will review and respond in the usual manner. If the loss is above the individual reporting threshold XCS will produce an SCM.</w:t>
      </w:r>
    </w:p>
    <w:p w:rsidR="00B24D97" w:rsidRPr="00D64309" w:rsidRDefault="00B24D97" w:rsidP="007953B3">
      <w:pPr>
        <w:numPr>
          <w:ilvl w:val="1"/>
          <w:numId w:val="34"/>
        </w:numPr>
        <w:tabs>
          <w:tab w:val="clear" w:pos="1800"/>
          <w:tab w:val="num" w:pos="567"/>
        </w:tabs>
        <w:ind w:left="567" w:hanging="567"/>
        <w:rPr>
          <w:rFonts w:cs="Arial"/>
        </w:rPr>
      </w:pPr>
      <w:r w:rsidRPr="00D64309">
        <w:rPr>
          <w:rFonts w:cs="Arial"/>
          <w:b/>
        </w:rPr>
        <w:t xml:space="preserve">Singleton Binders </w:t>
      </w:r>
      <w:r w:rsidRPr="00D64309">
        <w:rPr>
          <w:rFonts w:cs="Arial"/>
        </w:rPr>
        <w:t>- The Lead Agreement Party should review the transaction and determine whether the claim requires individual advice via an SCM. If it does, the Lead Agreement Party should respond to the transaction in the usual manner, allowing the transaction to be routed to XCS.</w:t>
      </w:r>
    </w:p>
    <w:p w:rsidR="00B24D97" w:rsidRPr="00D64309" w:rsidRDefault="00B24D97" w:rsidP="00EE1516">
      <w:pPr>
        <w:tabs>
          <w:tab w:val="num" w:pos="567"/>
        </w:tabs>
        <w:spacing w:after="120"/>
        <w:ind w:left="600"/>
        <w:rPr>
          <w:rFonts w:cs="Arial"/>
        </w:rPr>
      </w:pPr>
      <w:r w:rsidRPr="00D64309">
        <w:rPr>
          <w:rFonts w:cs="Arial"/>
        </w:rPr>
        <w:t>If</w:t>
      </w:r>
      <w:r w:rsidR="00E517DB">
        <w:rPr>
          <w:rFonts w:cs="Arial"/>
        </w:rPr>
        <w:t>,</w:t>
      </w:r>
      <w:r w:rsidRPr="00D64309">
        <w:rPr>
          <w:rFonts w:cs="Arial"/>
        </w:rPr>
        <w:t xml:space="preserve"> however</w:t>
      </w:r>
      <w:r w:rsidR="00E517DB">
        <w:rPr>
          <w:rFonts w:cs="Arial"/>
        </w:rPr>
        <w:t>,</w:t>
      </w:r>
      <w:r w:rsidRPr="00D64309">
        <w:rPr>
          <w:rFonts w:cs="Arial"/>
        </w:rPr>
        <w:t xml:space="preserve"> the claim does NOT require an individual advice, the Lead Agreement Party should remove XCS as an Agreement Party </w:t>
      </w:r>
      <w:r w:rsidRPr="00D64309">
        <w:rPr>
          <w:rFonts w:cs="Arial"/>
          <w:b/>
        </w:rPr>
        <w:t>before</w:t>
      </w:r>
      <w:r w:rsidRPr="00D64309">
        <w:rPr>
          <w:rFonts w:cs="Arial"/>
        </w:rPr>
        <w:t xml:space="preserve"> responding to the transaction in the normal manner.</w:t>
      </w:r>
    </w:p>
    <w:p w:rsidR="00B24D97" w:rsidRPr="00D64309" w:rsidRDefault="00B24D97" w:rsidP="00EE1516">
      <w:pPr>
        <w:tabs>
          <w:tab w:val="num" w:pos="567"/>
        </w:tabs>
        <w:ind w:left="600"/>
        <w:rPr>
          <w:rFonts w:cs="Arial"/>
        </w:rPr>
      </w:pPr>
      <w:r w:rsidRPr="00D64309">
        <w:rPr>
          <w:rFonts w:cs="Arial"/>
        </w:rPr>
        <w:t>If XCS are included as an Agreement Party, they will perform a processing role only. This means that if XCS find cause to Query/Return the transaction, it will be due to their inability to process it accurately, rather than due to a claims handling decision. XCS will respond to the claim and generate the appropriate SCM.</w:t>
      </w:r>
    </w:p>
    <w:p w:rsidR="00B24D97" w:rsidRPr="00D64309" w:rsidRDefault="00B24D97" w:rsidP="00EE1516">
      <w:pPr>
        <w:tabs>
          <w:tab w:val="num" w:pos="567"/>
        </w:tabs>
        <w:ind w:left="600"/>
        <w:rPr>
          <w:rFonts w:cs="Arial"/>
        </w:rPr>
      </w:pPr>
      <w:r w:rsidRPr="00D64309">
        <w:rPr>
          <w:rFonts w:cs="Arial"/>
        </w:rPr>
        <w:t>Note that the UCR advised in the SCM will be that of the bordereaux and NOT the UCR of the individual claim.</w:t>
      </w:r>
    </w:p>
    <w:p w:rsidR="00B24D97" w:rsidRPr="00D64309" w:rsidRDefault="00B24D97" w:rsidP="009B13FA">
      <w:pPr>
        <w:pStyle w:val="Heading3"/>
        <w:rPr>
          <w:rFonts w:cs="Arial"/>
        </w:rPr>
      </w:pPr>
      <w:bookmarkStart w:id="299" w:name="BinderSubAdviceIndiv"/>
      <w:bookmarkStart w:id="300" w:name="_Subsequent_Advice_of"/>
      <w:bookmarkStart w:id="301" w:name="_Toc389214865"/>
      <w:bookmarkStart w:id="302" w:name="_Toc396989178"/>
      <w:bookmarkEnd w:id="299"/>
      <w:bookmarkEnd w:id="300"/>
      <w:r w:rsidRPr="00D64309">
        <w:rPr>
          <w:rFonts w:cs="Arial"/>
        </w:rPr>
        <w:t>Subsequent Advice of Above Authority (Individual) Claim</w:t>
      </w:r>
      <w:bookmarkEnd w:id="301"/>
      <w:bookmarkEnd w:id="302"/>
    </w:p>
    <w:p w:rsidR="00B24D97" w:rsidRPr="00D64309" w:rsidRDefault="00B24D97" w:rsidP="007953B3">
      <w:pPr>
        <w:numPr>
          <w:ilvl w:val="0"/>
          <w:numId w:val="39"/>
        </w:numPr>
        <w:tabs>
          <w:tab w:val="clear" w:pos="1080"/>
          <w:tab w:val="num" w:pos="-2268"/>
          <w:tab w:val="left" w:pos="567"/>
        </w:tabs>
        <w:spacing w:after="120"/>
        <w:ind w:left="567" w:hanging="567"/>
        <w:rPr>
          <w:rFonts w:cs="Arial"/>
        </w:rPr>
      </w:pPr>
      <w:r w:rsidRPr="00D64309">
        <w:rPr>
          <w:rFonts w:cs="Arial"/>
        </w:rPr>
        <w:t xml:space="preserve">The broker </w:t>
      </w:r>
      <w:r w:rsidRPr="00D64309">
        <w:rPr>
          <w:rFonts w:cs="Arial"/>
          <w:b/>
        </w:rPr>
        <w:t>must</w:t>
      </w:r>
      <w:r w:rsidRPr="00D64309">
        <w:rPr>
          <w:rFonts w:cs="Arial"/>
        </w:rPr>
        <w:t xml:space="preserve"> create a new transaction on the existing UCR, again with an incurred of zero, attaching the relevant documents. The broker should state the current outstanding and any settlement request in the broker narrative.</w:t>
      </w:r>
    </w:p>
    <w:p w:rsidR="00B24D97" w:rsidRPr="00D64309" w:rsidRDefault="00B24D97" w:rsidP="007953B3">
      <w:pPr>
        <w:numPr>
          <w:ilvl w:val="0"/>
          <w:numId w:val="39"/>
        </w:numPr>
        <w:tabs>
          <w:tab w:val="clear" w:pos="1080"/>
          <w:tab w:val="num" w:pos="-2268"/>
          <w:tab w:val="left" w:pos="567"/>
        </w:tabs>
        <w:spacing w:after="120"/>
        <w:ind w:left="567" w:hanging="567"/>
        <w:rPr>
          <w:rFonts w:cs="Arial"/>
        </w:rPr>
      </w:pPr>
      <w:r w:rsidRPr="00D64309">
        <w:rPr>
          <w:rFonts w:cs="Arial"/>
          <w:b/>
        </w:rPr>
        <w:t xml:space="preserve">Subscription Binders </w:t>
      </w:r>
      <w:r w:rsidRPr="00D64309">
        <w:rPr>
          <w:rFonts w:cs="Arial"/>
        </w:rPr>
        <w:t>- The Lead Agreement Party should review the transaction and respond to the transaction in the usual manner, entering public comments as appropriate. The transaction will then be routed to XCS who will review and respond in the usual manner. If the loss is above the individual reporting threshold XCS will produce an SCM.</w:t>
      </w:r>
    </w:p>
    <w:p w:rsidR="00B24D97" w:rsidRPr="00D64309" w:rsidRDefault="00B24D97" w:rsidP="007953B3">
      <w:pPr>
        <w:numPr>
          <w:ilvl w:val="0"/>
          <w:numId w:val="39"/>
        </w:numPr>
        <w:tabs>
          <w:tab w:val="clear" w:pos="1080"/>
          <w:tab w:val="num" w:pos="-2268"/>
          <w:tab w:val="left" w:pos="567"/>
        </w:tabs>
        <w:spacing w:after="120"/>
        <w:ind w:left="567" w:hanging="567"/>
        <w:rPr>
          <w:rFonts w:cs="Arial"/>
        </w:rPr>
      </w:pPr>
      <w:r w:rsidRPr="00D64309">
        <w:rPr>
          <w:rFonts w:cs="Arial"/>
          <w:b/>
        </w:rPr>
        <w:t xml:space="preserve">Singleton Binders </w:t>
      </w:r>
      <w:r w:rsidRPr="00D64309">
        <w:rPr>
          <w:rFonts w:cs="Arial"/>
        </w:rPr>
        <w:t xml:space="preserve">– The Lead Agreement Party should review the transaction and determine whether the claim requires individual advice via an SCM. If it does </w:t>
      </w:r>
      <w:r w:rsidRPr="00D64309">
        <w:rPr>
          <w:rFonts w:cs="Arial"/>
          <w:b/>
        </w:rPr>
        <w:t>not</w:t>
      </w:r>
      <w:r w:rsidRPr="00D64309">
        <w:rPr>
          <w:rFonts w:cs="Arial"/>
        </w:rPr>
        <w:t xml:space="preserve">, the Lead Agreement Party should respond to the transaction in the usual manner. The default position (having removed XCS an Agreement Party on the previous transaction) will be that XCS are </w:t>
      </w:r>
      <w:r w:rsidRPr="00D64309">
        <w:rPr>
          <w:rFonts w:cs="Arial"/>
          <w:b/>
        </w:rPr>
        <w:t xml:space="preserve">not </w:t>
      </w:r>
      <w:r w:rsidRPr="00D64309">
        <w:rPr>
          <w:rFonts w:cs="Arial"/>
        </w:rPr>
        <w:t>included as an Agreement Party, but this should be confirmed before responding to the transaction. If however the claim does require an individual advice, the Lead Agreement Party should add XCS as an Agreement Party.</w:t>
      </w:r>
    </w:p>
    <w:p w:rsidR="00B24D97" w:rsidRPr="00D64309" w:rsidRDefault="00B24D97" w:rsidP="00EE1516">
      <w:pPr>
        <w:tabs>
          <w:tab w:val="left" w:pos="567"/>
        </w:tabs>
        <w:spacing w:after="120"/>
        <w:ind w:left="600"/>
        <w:rPr>
          <w:rFonts w:cs="Arial"/>
        </w:rPr>
      </w:pPr>
      <w:bookmarkStart w:id="303" w:name="OLE_LINK9"/>
      <w:r w:rsidRPr="00D64309">
        <w:rPr>
          <w:rFonts w:cs="Arial"/>
        </w:rPr>
        <w:t xml:space="preserve">If XCS have been added as an Agreement Party, they will perform a processing role only. This means that if XCS find cause to Query/Return the transaction, it will be due to their inability to process it accurately, rather than due to a claims handling decision. XCS will respond to the claim and generate the appropriate SCM. </w:t>
      </w:r>
      <w:bookmarkEnd w:id="303"/>
    </w:p>
    <w:p w:rsidR="00B24D97" w:rsidRPr="00D64309" w:rsidRDefault="00B24D97" w:rsidP="009B13FA">
      <w:pPr>
        <w:pStyle w:val="Heading3"/>
        <w:rPr>
          <w:rFonts w:cs="Arial"/>
        </w:rPr>
      </w:pPr>
      <w:bookmarkStart w:id="304" w:name="_Toc389214866"/>
      <w:bookmarkStart w:id="305" w:name="_Toc396989179"/>
      <w:r w:rsidRPr="00D64309">
        <w:rPr>
          <w:rFonts w:cs="Arial"/>
        </w:rPr>
        <w:t>Cash Loss on Individual Claim</w:t>
      </w:r>
      <w:bookmarkEnd w:id="304"/>
      <w:bookmarkEnd w:id="305"/>
    </w:p>
    <w:p w:rsidR="00B24D97" w:rsidRPr="00D64309" w:rsidRDefault="00B24D97" w:rsidP="00EE1516">
      <w:pPr>
        <w:tabs>
          <w:tab w:val="left" w:pos="567"/>
        </w:tabs>
        <w:spacing w:after="120"/>
        <w:rPr>
          <w:rFonts w:cs="Arial"/>
        </w:rPr>
      </w:pPr>
      <w:r w:rsidRPr="00D64309">
        <w:rPr>
          <w:rFonts w:cs="Arial"/>
        </w:rPr>
        <w:t>This process is to be used for the presentation of a subsequent advice of an individual claim (see above) when that claim requires a cash loss payment.</w:t>
      </w:r>
    </w:p>
    <w:p w:rsidR="00B24D97" w:rsidRPr="00D64309" w:rsidRDefault="00B24D97" w:rsidP="007953B3">
      <w:pPr>
        <w:numPr>
          <w:ilvl w:val="0"/>
          <w:numId w:val="35"/>
        </w:numPr>
        <w:tabs>
          <w:tab w:val="clear" w:pos="1080"/>
          <w:tab w:val="num" w:pos="-4111"/>
          <w:tab w:val="left" w:pos="567"/>
        </w:tabs>
        <w:spacing w:after="120"/>
        <w:ind w:left="567" w:hanging="567"/>
        <w:rPr>
          <w:rFonts w:cs="Arial"/>
        </w:rPr>
      </w:pPr>
      <w:r w:rsidRPr="00D64309">
        <w:rPr>
          <w:rFonts w:cs="Arial"/>
        </w:rPr>
        <w:t xml:space="preserve">The broker </w:t>
      </w:r>
      <w:r w:rsidRPr="00D64309">
        <w:rPr>
          <w:rFonts w:cs="Arial"/>
          <w:b/>
        </w:rPr>
        <w:t>must</w:t>
      </w:r>
      <w:r w:rsidRPr="00D64309">
        <w:rPr>
          <w:rFonts w:cs="Arial"/>
        </w:rPr>
        <w:t xml:space="preserve"> create a CLASS transaction on the individual UCR with an incurred of zero and attaching documents as appropriate. The broker must make reference to the request for settlement in the broker narrative.</w:t>
      </w:r>
    </w:p>
    <w:p w:rsidR="00B24D97" w:rsidRPr="00D64309" w:rsidRDefault="00B24D97" w:rsidP="007953B3">
      <w:pPr>
        <w:numPr>
          <w:ilvl w:val="0"/>
          <w:numId w:val="35"/>
        </w:numPr>
        <w:tabs>
          <w:tab w:val="clear" w:pos="1080"/>
          <w:tab w:val="num" w:pos="-4111"/>
          <w:tab w:val="left" w:pos="567"/>
        </w:tabs>
        <w:spacing w:after="120"/>
        <w:ind w:left="567" w:hanging="567"/>
        <w:rPr>
          <w:rFonts w:cs="Arial"/>
        </w:rPr>
      </w:pPr>
      <w:r w:rsidRPr="00D64309">
        <w:rPr>
          <w:rFonts w:cs="Arial"/>
        </w:rPr>
        <w:t xml:space="preserve">The broker </w:t>
      </w:r>
      <w:r w:rsidRPr="00D64309">
        <w:rPr>
          <w:rFonts w:cs="Arial"/>
          <w:b/>
        </w:rPr>
        <w:t>must</w:t>
      </w:r>
      <w:r w:rsidRPr="00D64309">
        <w:rPr>
          <w:rFonts w:cs="Arial"/>
        </w:rPr>
        <w:t xml:space="preserve"> then create a CLASS transaction on the bordereaux UCR, using the same outstanding as previous and entering the amount of the cash loss as the settled. The broker </w:t>
      </w:r>
      <w:r w:rsidRPr="00D64309">
        <w:rPr>
          <w:rFonts w:cs="Arial"/>
          <w:b/>
        </w:rPr>
        <w:t>must</w:t>
      </w:r>
      <w:r w:rsidRPr="00D64309">
        <w:rPr>
          <w:rFonts w:cs="Arial"/>
        </w:rPr>
        <w:t xml:space="preserve"> make reference to the applicable individual UCR either in the broker narrative or on a document loaded to the repository and attached to the transaction. Both this bordereaux settlement transaction and the individual loss transaction (with zero financials) should be submitted together, without a delay between submitting each transaction. </w:t>
      </w:r>
    </w:p>
    <w:p w:rsidR="00B24D97" w:rsidRPr="00D64309" w:rsidRDefault="00B24D97" w:rsidP="007953B3">
      <w:pPr>
        <w:numPr>
          <w:ilvl w:val="0"/>
          <w:numId w:val="35"/>
        </w:numPr>
        <w:tabs>
          <w:tab w:val="clear" w:pos="1080"/>
          <w:tab w:val="num" w:pos="-4111"/>
          <w:tab w:val="left" w:pos="567"/>
        </w:tabs>
        <w:spacing w:after="120"/>
        <w:ind w:left="567" w:hanging="567"/>
        <w:rPr>
          <w:rFonts w:cs="Arial"/>
        </w:rPr>
      </w:pPr>
      <w:r w:rsidRPr="00D64309">
        <w:rPr>
          <w:rFonts w:cs="Arial"/>
        </w:rPr>
        <w:t xml:space="preserve">Lead Agreement Parties (and subsequent Agreement Parties where appropriate) should review both transactions and respond to each. Note that if the request is made on a singleton binder, </w:t>
      </w:r>
      <w:r w:rsidRPr="00D64309">
        <w:rPr>
          <w:rFonts w:cs="Arial"/>
        </w:rPr>
        <w:lastRenderedPageBreak/>
        <w:t>the Lead Agreement Party can remove XCS from the individual UCR but should include XCS as an Agreement Party on the bordereaux UCR.  If above the threshold then XCS should see the individual UCR also.</w:t>
      </w:r>
    </w:p>
    <w:p w:rsidR="00B24D97" w:rsidRPr="00D64309" w:rsidRDefault="00B24D97" w:rsidP="007953B3">
      <w:pPr>
        <w:numPr>
          <w:ilvl w:val="0"/>
          <w:numId w:val="35"/>
        </w:numPr>
        <w:tabs>
          <w:tab w:val="clear" w:pos="1080"/>
          <w:tab w:val="num" w:pos="-4111"/>
          <w:tab w:val="left" w:pos="567"/>
        </w:tabs>
        <w:spacing w:after="120"/>
        <w:ind w:left="567" w:hanging="567"/>
        <w:rPr>
          <w:rFonts w:cs="Arial"/>
        </w:rPr>
      </w:pPr>
      <w:r w:rsidRPr="00D64309">
        <w:rPr>
          <w:rFonts w:cs="Arial"/>
        </w:rPr>
        <w:t>XCS will then process the CLASS transactions in XCS CLASS. XCS will first respond to the individual UCR, if appropriate without generating an SCM. XCS will then generate an SCM, USM and BSM and trigger the settlement from the bordereaux entry. XCS will then respond to the original broker-created bordereaux UCR transaction.</w:t>
      </w:r>
    </w:p>
    <w:p w:rsidR="00B24D97" w:rsidRPr="00D64309" w:rsidRDefault="00B24D97" w:rsidP="009B13FA">
      <w:pPr>
        <w:pStyle w:val="Heading3"/>
        <w:rPr>
          <w:rFonts w:cs="Arial"/>
        </w:rPr>
      </w:pPr>
      <w:bookmarkStart w:id="306" w:name="BinderCoLead"/>
      <w:bookmarkStart w:id="307" w:name="_Co-Lead_Binding_Authorities"/>
      <w:bookmarkStart w:id="308" w:name="_Toc389214867"/>
      <w:bookmarkStart w:id="309" w:name="_Toc396989180"/>
      <w:bookmarkEnd w:id="306"/>
      <w:bookmarkEnd w:id="307"/>
      <w:r w:rsidRPr="00D64309">
        <w:rPr>
          <w:rFonts w:cs="Arial"/>
        </w:rPr>
        <w:t>Co-Lead Binding Authorities</w:t>
      </w:r>
      <w:bookmarkEnd w:id="308"/>
      <w:bookmarkEnd w:id="309"/>
    </w:p>
    <w:p w:rsidR="00B24D97" w:rsidRPr="00E517DB" w:rsidRDefault="00705E45" w:rsidP="00E517DB">
      <w:r w:rsidRPr="00E517DB">
        <w:t xml:space="preserve">A workaround has been devised to cater for Co-Lead Claims to be processed via ECF, however these will still remain </w:t>
      </w:r>
      <w:r w:rsidR="00B24D97" w:rsidRPr="00E517DB">
        <w:t xml:space="preserve">out of scope. A </w:t>
      </w:r>
      <w:r w:rsidRPr="00E517DB">
        <w:t>system solution will be required to cater for a full ECF solution that can group and un-group entries (Electronic Rubber Band) for outside authority Co-Lead claims.</w:t>
      </w:r>
    </w:p>
    <w:p w:rsidR="00B24D97" w:rsidRPr="00E517DB" w:rsidRDefault="00B24D97" w:rsidP="00E517DB">
      <w:r w:rsidRPr="00E517DB">
        <w:t>This situation exists in instances where one insured is issued one certificate of insurance that is split in percentages (as defined in the certificate) over more than one London Market placed, binding authority. Each binding authority has its own lead (and very often involves XCS agreeing the claim on behalf of the subscribing insurers) under their own OSND. This in turn leads to individual UMRs and UCRs for the placement and the associated claims, even though there is usually (but not exclusively) one London broker and only ever one cover</w:t>
      </w:r>
      <w:r w:rsidR="0082505A" w:rsidRPr="00E517DB">
        <w:t xml:space="preserve"> </w:t>
      </w:r>
      <w:r w:rsidRPr="00E517DB">
        <w:t>holder and original insured.</w:t>
      </w:r>
    </w:p>
    <w:p w:rsidR="00B24D97" w:rsidRPr="00E517DB" w:rsidRDefault="00B24D97" w:rsidP="00E517DB">
      <w:r w:rsidRPr="00E517DB">
        <w:t>A variation on the above is where more than one certificate is issued to the original insured, with limits expressed as a percentage of the overall sum insured. In this instance (more akin to where there are separate London brokers involved); the certificate may not detail the other binding authorities to which the risk attaches.</w:t>
      </w:r>
      <w:bookmarkStart w:id="310" w:name="BinderFirstAdviceIndiv"/>
      <w:bookmarkEnd w:id="310"/>
    </w:p>
    <w:p w:rsidR="00705E45" w:rsidRPr="00E517DB" w:rsidRDefault="00705E45" w:rsidP="00E517DB">
      <w:r w:rsidRPr="00E517DB">
        <w:t xml:space="preserve">A project led by the LMA with support from Lloyd’s and LIIBA, was initiated in November 2010 to increase the volumes of new claims being processed via ECF, to verify Co-Lead claims volumes and to improve efficiency and turnaround times. </w:t>
      </w:r>
    </w:p>
    <w:p w:rsidR="00705E45" w:rsidRPr="00E517DB" w:rsidRDefault="00705E45" w:rsidP="00E517DB">
      <w:r w:rsidRPr="00E517DB">
        <w:t>A solution was suggested early in 2011 which utilises the current ECF bordereaux submission process and includes both within and outside authority claims and will take on a phased approach.</w:t>
      </w:r>
      <w:r w:rsidR="00F35DB0" w:rsidRPr="00E517DB">
        <w:t xml:space="preserve"> (See diagram below)</w:t>
      </w:r>
    </w:p>
    <w:p w:rsidR="00705E45" w:rsidRPr="00E517DB" w:rsidRDefault="00705E45" w:rsidP="00E517DB">
      <w:r w:rsidRPr="00E517DB">
        <w:t xml:space="preserve">A pilot was initiated in May 2011, which includes 5 major Co-Lead binder brokers and 22 managing agents </w:t>
      </w:r>
      <w:r w:rsidR="00775FF2">
        <w:t xml:space="preserve">with a further 3 brokers </w:t>
      </w:r>
      <w:r w:rsidRPr="00E517DB">
        <w:t>join</w:t>
      </w:r>
      <w:r w:rsidR="00775FF2">
        <w:t>ed</w:t>
      </w:r>
      <w:r w:rsidRPr="00E517DB">
        <w:t xml:space="preserve"> on 01 January 2012.</w:t>
      </w:r>
    </w:p>
    <w:p w:rsidR="00705E45" w:rsidRPr="00E517DB" w:rsidRDefault="00705E45" w:rsidP="00E517DB">
      <w:r w:rsidRPr="00E517DB">
        <w:t>For the first phase of the pilot, the outside authority claims agreement process is out of scope. As a result the broker will still be required to present the paper file to each Co-Lead. The individual Co-Lead will add their comments and syndicate stamp, but instead of the broker submitting the paper file to XCS for agreement and processing, each comment made by the Co-Lead will be scanned and stored by the broker within their internal systems as evidence of the claim being seen by the relevant market.</w:t>
      </w:r>
    </w:p>
    <w:p w:rsidR="00705E45" w:rsidRPr="00E517DB" w:rsidRDefault="00705E45" w:rsidP="00E517DB">
      <w:r w:rsidRPr="00E517DB">
        <w:t>Upon creation of the bordereaux to be submitted via ECF, the broker will then attach the outside authority evidences to the respective bordereaux which will now include both within and outside authority claims. When a managing agent and XCS is checking the bordereaux submission via ECF, an additional check is required to ensure the evidence of agreement for the outside authority claims is present.</w:t>
      </w:r>
    </w:p>
    <w:p w:rsidR="00705E45" w:rsidRPr="00E517DB" w:rsidRDefault="00705E45" w:rsidP="00E517DB">
      <w:r w:rsidRPr="00E517DB">
        <w:t>Co-Lead claims that are within authority should already be processed via ECF, however due to the potential market “misunderstanding” any bordereaux inclusive of co-Lead claims, regardless of being within or outside authority were incorrectly deemed out of scope. This pilot clears these grey areas surrounding this notion by including both within and outside authority claims in the ECF bordereaux submission.</w:t>
      </w:r>
    </w:p>
    <w:p w:rsidR="00705E45" w:rsidRPr="00E517DB" w:rsidRDefault="00705E45" w:rsidP="00E517DB">
      <w:r w:rsidRPr="00E517DB">
        <w:t>All new and renewed binders as at 01 April 2011 inclusive of co-Lead claims are in scope.</w:t>
      </w:r>
    </w:p>
    <w:p w:rsidR="00F35DB0" w:rsidRPr="00E517DB" w:rsidRDefault="00F35DB0" w:rsidP="00E517DB">
      <w:pPr>
        <w:sectPr w:rsidR="00F35DB0" w:rsidRPr="00E517DB" w:rsidSect="0038284D">
          <w:headerReference w:type="default" r:id="rId29"/>
          <w:footerReference w:type="even" r:id="rId30"/>
          <w:footerReference w:type="default" r:id="rId31"/>
          <w:pgSz w:w="11909" w:h="16834" w:code="9"/>
          <w:pgMar w:top="1440" w:right="1440" w:bottom="1440" w:left="1440" w:header="578" w:footer="493" w:gutter="0"/>
          <w:cols w:space="720"/>
        </w:sectPr>
      </w:pPr>
    </w:p>
    <w:p w:rsidR="00F35DB0" w:rsidRPr="00D02F40" w:rsidRDefault="00F82629" w:rsidP="0082505A">
      <w:pPr>
        <w:rPr>
          <w:rStyle w:val="Emphasis"/>
        </w:rPr>
        <w:sectPr w:rsidR="00F35DB0" w:rsidRPr="00D02F40" w:rsidSect="0038284D">
          <w:pgSz w:w="11909" w:h="16834" w:code="9"/>
          <w:pgMar w:top="1440" w:right="1440" w:bottom="1440" w:left="1440" w:header="578" w:footer="493" w:gutter="0"/>
          <w:cols w:space="720"/>
        </w:sectPr>
      </w:pPr>
      <w:bookmarkStart w:id="311" w:name="_Toc389214868"/>
      <w:r w:rsidRPr="0082505A">
        <w:rPr>
          <w:noProof/>
          <w:lang w:eastAsia="en-GB"/>
        </w:rPr>
        <w:lastRenderedPageBreak/>
        <w:drawing>
          <wp:inline distT="0" distB="0" distL="0" distR="0" wp14:anchorId="435EA962" wp14:editId="2194F1D1">
            <wp:extent cx="5825490" cy="8251190"/>
            <wp:effectExtent l="19050" t="0" r="3810" b="0"/>
            <wp:docPr id="1" name="Picture 26" descr="Co-Lead ECF Bord Phase 2 Finalpdfsp&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ead ECF Bord Phase 2 Finalpdfsp&amp;p"/>
                    <pic:cNvPicPr>
                      <a:picLocks noChangeAspect="1" noChangeArrowheads="1"/>
                    </pic:cNvPicPr>
                  </pic:nvPicPr>
                  <pic:blipFill>
                    <a:blip r:embed="rId32" cstate="print"/>
                    <a:srcRect/>
                    <a:stretch>
                      <a:fillRect/>
                    </a:stretch>
                  </pic:blipFill>
                  <pic:spPr bwMode="auto">
                    <a:xfrm>
                      <a:off x="0" y="0"/>
                      <a:ext cx="5825490" cy="8251190"/>
                    </a:xfrm>
                    <a:prstGeom prst="rect">
                      <a:avLst/>
                    </a:prstGeom>
                    <a:noFill/>
                    <a:ln w="9525">
                      <a:noFill/>
                      <a:miter lim="800000"/>
                      <a:headEnd/>
                      <a:tailEnd/>
                    </a:ln>
                  </pic:spPr>
                </pic:pic>
              </a:graphicData>
            </a:graphic>
          </wp:inline>
        </w:drawing>
      </w:r>
      <w:bookmarkEnd w:id="311"/>
    </w:p>
    <w:p w:rsidR="00B24D97" w:rsidRPr="00D64309" w:rsidRDefault="00B24D97" w:rsidP="009B13FA">
      <w:pPr>
        <w:pStyle w:val="Heading3"/>
        <w:rPr>
          <w:rFonts w:cs="Arial"/>
        </w:rPr>
      </w:pPr>
      <w:bookmarkStart w:id="312" w:name="_Above_Authority_Claims"/>
      <w:bookmarkStart w:id="313" w:name="_Toc389214869"/>
      <w:bookmarkStart w:id="314" w:name="_Toc396989181"/>
      <w:bookmarkEnd w:id="312"/>
      <w:r w:rsidRPr="00D64309">
        <w:rPr>
          <w:rFonts w:cs="Arial"/>
        </w:rPr>
        <w:lastRenderedPageBreak/>
        <w:t>Above Authority Claims on Scheme Canada business</w:t>
      </w:r>
      <w:bookmarkEnd w:id="313"/>
      <w:bookmarkEnd w:id="314"/>
    </w:p>
    <w:p w:rsidR="00B24D97" w:rsidRDefault="00B24D97" w:rsidP="00FF06FA">
      <w:pPr>
        <w:rPr>
          <w:rFonts w:cs="Arial"/>
        </w:rPr>
      </w:pPr>
      <w:r w:rsidRPr="00D64309">
        <w:rPr>
          <w:rFonts w:cs="Arial"/>
        </w:rPr>
        <w:t xml:space="preserve">The processing of financials and within authority claims for Scheme Canada business should continue to be handled via the Lineage system. However, ECF can be used for the agreement process for Above Authority claims. The procedure for Above Authority claims as described in sections </w:t>
      </w:r>
      <w:hyperlink w:anchor="_First_Advice_of" w:history="1">
        <w:r w:rsidR="003F0AC2" w:rsidRPr="003F0AC2">
          <w:rPr>
            <w:rStyle w:val="Hyperlink"/>
            <w:rFonts w:cs="Arial"/>
          </w:rPr>
          <w:t>2.20.3</w:t>
        </w:r>
      </w:hyperlink>
      <w:r w:rsidRPr="00D64309">
        <w:rPr>
          <w:rFonts w:cs="Arial"/>
        </w:rPr>
        <w:t xml:space="preserve"> and </w:t>
      </w:r>
      <w:hyperlink w:anchor="_Subsequent_Advice_of" w:history="1">
        <w:r w:rsidR="003F0AC2" w:rsidRPr="003F0AC2">
          <w:rPr>
            <w:rStyle w:val="Hyperlink"/>
            <w:rFonts w:cs="Arial"/>
          </w:rPr>
          <w:t>2.20.4</w:t>
        </w:r>
      </w:hyperlink>
      <w:r w:rsidRPr="00D64309">
        <w:rPr>
          <w:rFonts w:cs="Arial"/>
        </w:rPr>
        <w:t xml:space="preserve"> should be followed with the exception of stating the financial amounts in the broker narrative. Instead, the broker should cross refer to the Lineage claim number so that the Agreement Parties are able to locate the claim on the Lineage system.</w:t>
      </w:r>
    </w:p>
    <w:p w:rsidR="00E43829" w:rsidRPr="00D64309" w:rsidRDefault="0082505A" w:rsidP="00E517DB">
      <w:pPr>
        <w:pStyle w:val="Heading3"/>
      </w:pPr>
      <w:bookmarkStart w:id="315" w:name="_Toc396989182"/>
      <w:r>
        <w:t>Multiple OSND</w:t>
      </w:r>
      <w:r w:rsidR="00E43829" w:rsidRPr="004128DB">
        <w:t>s Inclusive of Aviation Verticals</w:t>
      </w:r>
      <w:bookmarkEnd w:id="315"/>
    </w:p>
    <w:p w:rsidR="00E43829" w:rsidRPr="00D64309" w:rsidRDefault="00E43829" w:rsidP="00E43829">
      <w:pPr>
        <w:rPr>
          <w:rFonts w:cs="Arial"/>
        </w:rPr>
      </w:pPr>
      <w:r w:rsidRPr="00D64309">
        <w:rPr>
          <w:rFonts w:cs="Arial"/>
        </w:rPr>
        <w:t>This process was introduced specifically to accommodate vertical placing in the Aviation market where the placing broker has negotiated different terms for each underwriter. Under these circumstances a single slip cannot be loaded to the UMR. Each underwriter will have their own slip (containing the rates that have been negotiated) and their own individual signing.</w:t>
      </w:r>
    </w:p>
    <w:p w:rsidR="00E43829" w:rsidRPr="00D64309" w:rsidRDefault="00E43829" w:rsidP="00E43829">
      <w:pPr>
        <w:rPr>
          <w:rFonts w:cs="Arial"/>
        </w:rPr>
      </w:pPr>
      <w:r w:rsidRPr="00D64309">
        <w:rPr>
          <w:rFonts w:cs="Arial"/>
        </w:rPr>
        <w:t>This process can be used in other classes of business where differing rates have been negotiated with the various underwriters, for example to ensure compliance with BIPAR principles. All of the rules explained previously for Aviation vertical placing must be followed if this process is to be adopted for non-Aviation risks.</w:t>
      </w:r>
    </w:p>
    <w:p w:rsidR="00E43829" w:rsidRPr="00D64309" w:rsidRDefault="00E43829" w:rsidP="00E43829">
      <w:pPr>
        <w:rPr>
          <w:rFonts w:cs="Arial"/>
        </w:rPr>
      </w:pPr>
      <w:r w:rsidRPr="00D64309">
        <w:rPr>
          <w:rFonts w:cs="Arial"/>
        </w:rPr>
        <w:t>If using this process for non-Aviation risks, it is recommended that the relevant business team in XCS is contacted to advise that this procedure is being adopted.</w:t>
      </w:r>
    </w:p>
    <w:p w:rsidR="00E43829" w:rsidRPr="00D64309" w:rsidRDefault="00E43829" w:rsidP="00E43829">
      <w:pPr>
        <w:rPr>
          <w:rFonts w:cs="Arial"/>
        </w:rPr>
      </w:pPr>
      <w:r w:rsidRPr="00D64309">
        <w:rPr>
          <w:rFonts w:cs="Arial"/>
        </w:rPr>
        <w:t>The handling of certain multiple OSND claims and Aviation vertical placements involving Lloyd’s business can be supported via a workaround involving the use of a FDO (For Declaration Only) signing specifically for claims handling. This will enable the component signings of a vertical placement to be merged for the purpose of claims handling.</w:t>
      </w:r>
    </w:p>
    <w:p w:rsidR="00E43829" w:rsidRPr="00D64309" w:rsidRDefault="00E43829" w:rsidP="00E43829">
      <w:pPr>
        <w:rPr>
          <w:rFonts w:cs="Arial"/>
        </w:rPr>
      </w:pPr>
      <w:r w:rsidRPr="00D64309">
        <w:rPr>
          <w:rFonts w:cs="Arial"/>
        </w:rPr>
        <w:t>Following the implementation of the IMR Security Model enhancements on the 7</w:t>
      </w:r>
      <w:r w:rsidRPr="00D64309">
        <w:rPr>
          <w:rFonts w:cs="Arial"/>
          <w:vertAlign w:val="superscript"/>
        </w:rPr>
        <w:t>th</w:t>
      </w:r>
      <w:r w:rsidRPr="00D64309">
        <w:rPr>
          <w:rFonts w:cs="Arial"/>
        </w:rPr>
        <w:t xml:space="preserve"> December 2009, new functionality will allow a broker to restrict the access rights to the appropriate carriers for documents containing confidential terms. </w:t>
      </w:r>
    </w:p>
    <w:p w:rsidR="00E43829" w:rsidRPr="00D64309" w:rsidRDefault="00E43829" w:rsidP="00E43829">
      <w:pPr>
        <w:rPr>
          <w:rFonts w:cs="Arial"/>
        </w:rPr>
      </w:pPr>
      <w:r w:rsidRPr="00D64309">
        <w:rPr>
          <w:rFonts w:cs="Arial"/>
        </w:rPr>
        <w:t xml:space="preserve">Below is a list of conditions that are a pre-requisite of using this process for handling aviation verticals in ECF and a step by step guide for each party involved in the submission of premium and claims transactions. </w:t>
      </w:r>
      <w:r w:rsidRPr="00D64309">
        <w:rPr>
          <w:rFonts w:cs="Arial"/>
          <w:b/>
        </w:rPr>
        <w:t>Risks must comply with all of the conditions before claims may be submitted on ECF</w:t>
      </w:r>
      <w:r w:rsidRPr="00D64309">
        <w:rPr>
          <w:rFonts w:cs="Arial"/>
        </w:rPr>
        <w:t>:</w:t>
      </w:r>
    </w:p>
    <w:p w:rsidR="00E43829" w:rsidRPr="00D64309" w:rsidRDefault="00E43829" w:rsidP="00E517DB">
      <w:pPr>
        <w:pStyle w:val="Heading3"/>
      </w:pPr>
      <w:bookmarkStart w:id="316" w:name="_Toc389214870"/>
      <w:bookmarkStart w:id="317" w:name="_Toc396989183"/>
      <w:r w:rsidRPr="00D64309">
        <w:t>Conditions</w:t>
      </w:r>
      <w:bookmarkEnd w:id="316"/>
      <w:bookmarkEnd w:id="317"/>
    </w:p>
    <w:p w:rsidR="00E43829" w:rsidRPr="00D64309" w:rsidRDefault="00E43829" w:rsidP="00E43829">
      <w:pPr>
        <w:pStyle w:val="Bullets"/>
        <w:spacing w:after="120"/>
        <w:rPr>
          <w:rFonts w:cs="Arial"/>
        </w:rPr>
      </w:pPr>
      <w:r w:rsidRPr="00D64309">
        <w:rPr>
          <w:rFonts w:cs="Arial"/>
        </w:rPr>
        <w:t>This process only applies to new placed risks or renewals of existing risks</w:t>
      </w:r>
    </w:p>
    <w:p w:rsidR="00E43829" w:rsidRPr="00D64309" w:rsidRDefault="00E43829" w:rsidP="00E43829">
      <w:pPr>
        <w:pStyle w:val="Bullets"/>
        <w:spacing w:after="120"/>
        <w:rPr>
          <w:rFonts w:cs="Arial"/>
        </w:rPr>
      </w:pPr>
      <w:r w:rsidRPr="00D64309">
        <w:rPr>
          <w:rFonts w:cs="Arial"/>
        </w:rPr>
        <w:t>All component parts of the vertical placement must be signed under the same UMR</w:t>
      </w:r>
    </w:p>
    <w:p w:rsidR="00E43829" w:rsidRPr="00D64309" w:rsidRDefault="00E43829" w:rsidP="00E43829">
      <w:pPr>
        <w:pStyle w:val="Bullets"/>
        <w:spacing w:after="120"/>
        <w:rPr>
          <w:rFonts w:cs="Arial"/>
        </w:rPr>
      </w:pPr>
      <w:r w:rsidRPr="00D64309">
        <w:rPr>
          <w:rFonts w:cs="Arial"/>
        </w:rPr>
        <w:t>Everything on the component slips with the exception of Rates, Brokerage and Commissions must be the same across all components. E.g. Limits, Orders, Interest and Year of Account</w:t>
      </w:r>
    </w:p>
    <w:p w:rsidR="00E43829" w:rsidRPr="00D64309" w:rsidRDefault="00E43829" w:rsidP="00E43829">
      <w:pPr>
        <w:pStyle w:val="Bullets"/>
        <w:spacing w:after="120"/>
        <w:rPr>
          <w:rFonts w:cs="Arial"/>
        </w:rPr>
      </w:pPr>
      <w:r w:rsidRPr="00D64309">
        <w:rPr>
          <w:rFonts w:cs="Arial"/>
        </w:rPr>
        <w:t>A separate claims FDO “Sanitised slip” (A complete copy of the slip. Where confidentiality of the Rates, Brokerage and Commissions needs to be protected, the sanitised slip should exclude these but include all syndicate lines and references of all component parts of the slip) must be provided by the broker to XIS for signing. This slip should include all lines of all components.</w:t>
      </w:r>
    </w:p>
    <w:p w:rsidR="00E43829" w:rsidRPr="00D64309" w:rsidRDefault="00E43829" w:rsidP="00E43829">
      <w:pPr>
        <w:pStyle w:val="Bullets"/>
        <w:spacing w:after="120"/>
        <w:rPr>
          <w:rFonts w:cs="Arial"/>
        </w:rPr>
      </w:pPr>
      <w:r w:rsidRPr="00D64309">
        <w:rPr>
          <w:rFonts w:cs="Arial"/>
        </w:rPr>
        <w:t>Where confidentiality of the commercial terms of the component signings e.g. rates, commissions, brokerage etc. needs to be protected, these should be excluded from the sanitised slip.</w:t>
      </w:r>
    </w:p>
    <w:p w:rsidR="00E43829" w:rsidRPr="00D64309" w:rsidRDefault="00E43829" w:rsidP="00E43829">
      <w:pPr>
        <w:pStyle w:val="Bullets"/>
        <w:spacing w:after="120"/>
        <w:rPr>
          <w:rFonts w:cs="Arial"/>
        </w:rPr>
      </w:pPr>
      <w:r w:rsidRPr="00D64309">
        <w:rPr>
          <w:rFonts w:cs="Arial"/>
        </w:rPr>
        <w:t>The broker must provide XIS with written confirmation that the Claims FDO is a complete and accurate reflection of the vertical signing components with the exception of the commercial terms</w:t>
      </w:r>
    </w:p>
    <w:p w:rsidR="00E43829" w:rsidRDefault="00E43829" w:rsidP="00E43829">
      <w:pPr>
        <w:pStyle w:val="Bullets"/>
        <w:spacing w:after="120"/>
        <w:rPr>
          <w:rFonts w:cs="Arial"/>
        </w:rPr>
      </w:pPr>
      <w:r w:rsidRPr="00D64309">
        <w:rPr>
          <w:rFonts w:cs="Arial"/>
        </w:rPr>
        <w:t>The broker must provide confirmation in the UMR on the Insurers’ Market Repository (IMR) that the premium for the individual component vertical signings have been paid in accordance with the terms of trade agreed on the component signings</w:t>
      </w:r>
    </w:p>
    <w:p w:rsidR="00E43829" w:rsidRPr="00D64309" w:rsidRDefault="00E43829" w:rsidP="00E43829">
      <w:pPr>
        <w:pStyle w:val="Bullets"/>
        <w:numPr>
          <w:ilvl w:val="0"/>
          <w:numId w:val="0"/>
        </w:numPr>
        <w:spacing w:after="120"/>
        <w:ind w:left="397"/>
        <w:rPr>
          <w:rFonts w:cs="Arial"/>
        </w:rPr>
      </w:pPr>
    </w:p>
    <w:p w:rsidR="00E43829" w:rsidRPr="00C0106B" w:rsidRDefault="00E43829" w:rsidP="00C0106B">
      <w:pPr>
        <w:pStyle w:val="Heading2"/>
      </w:pPr>
      <w:bookmarkStart w:id="318" w:name="_Premium_submission_and"/>
      <w:bookmarkStart w:id="319" w:name="_Toc389214871"/>
      <w:bookmarkStart w:id="320" w:name="_Toc396989184"/>
      <w:bookmarkEnd w:id="318"/>
      <w:r w:rsidRPr="00C0106B">
        <w:lastRenderedPageBreak/>
        <w:t>Premium submission and claims process</w:t>
      </w:r>
      <w:bookmarkEnd w:id="319"/>
      <w:bookmarkEnd w:id="320"/>
    </w:p>
    <w:p w:rsidR="00E43829" w:rsidRPr="00D64309" w:rsidRDefault="00E43829" w:rsidP="00E43829">
      <w:pPr>
        <w:pStyle w:val="Bullets"/>
        <w:spacing w:after="120"/>
        <w:rPr>
          <w:rFonts w:cs="Arial"/>
          <w:b/>
          <w:bCs/>
        </w:rPr>
      </w:pPr>
      <w:r w:rsidRPr="00D64309">
        <w:rPr>
          <w:rFonts w:cs="Arial"/>
          <w:b/>
          <w:bCs/>
        </w:rPr>
        <w:t>Broker Premium Department Process</w:t>
      </w:r>
    </w:p>
    <w:p w:rsidR="00E43829" w:rsidRPr="00D64309" w:rsidRDefault="00E43829" w:rsidP="00E43829">
      <w:pPr>
        <w:numPr>
          <w:ilvl w:val="0"/>
          <w:numId w:val="44"/>
        </w:numPr>
        <w:spacing w:after="120"/>
        <w:rPr>
          <w:rFonts w:cs="Arial"/>
        </w:rPr>
      </w:pPr>
      <w:r w:rsidRPr="00D64309">
        <w:rPr>
          <w:rFonts w:cs="Arial"/>
        </w:rPr>
        <w:t>Broker to confirm that vertical placement meets all of the conditions in the section “Conditions” above.</w:t>
      </w:r>
    </w:p>
    <w:p w:rsidR="00E43829" w:rsidRPr="00D64309" w:rsidRDefault="00E43829" w:rsidP="00E43829">
      <w:pPr>
        <w:numPr>
          <w:ilvl w:val="0"/>
          <w:numId w:val="44"/>
        </w:numPr>
        <w:spacing w:after="120"/>
        <w:rPr>
          <w:rFonts w:cs="Arial"/>
        </w:rPr>
      </w:pPr>
      <w:r w:rsidRPr="00D64309">
        <w:rPr>
          <w:rFonts w:cs="Arial"/>
        </w:rPr>
        <w:t>Broker to create an electronic “Sanitised slip” and load this to the UMR folder in the IMR in an area of the UMR that is visible to XCS and Managing Agency claims staff.</w:t>
      </w:r>
    </w:p>
    <w:p w:rsidR="00E43829" w:rsidRPr="00D64309" w:rsidRDefault="00E43829" w:rsidP="00E43829">
      <w:pPr>
        <w:numPr>
          <w:ilvl w:val="0"/>
          <w:numId w:val="44"/>
        </w:numPr>
        <w:spacing w:after="120"/>
        <w:rPr>
          <w:rFonts w:cs="Arial"/>
        </w:rPr>
      </w:pPr>
      <w:r w:rsidRPr="00D64309">
        <w:rPr>
          <w:rFonts w:cs="Arial"/>
        </w:rPr>
        <w:t xml:space="preserve">Broker to load all components of the vertical placement slip to the UMR folder on the IMR </w:t>
      </w:r>
      <w:r w:rsidRPr="00D64309">
        <w:rPr>
          <w:rFonts w:cs="Arial"/>
          <w:b/>
        </w:rPr>
        <w:t>in the secure area</w:t>
      </w:r>
      <w:r w:rsidRPr="00D64309">
        <w:rPr>
          <w:rFonts w:cs="Arial"/>
        </w:rPr>
        <w:t xml:space="preserve"> (XIS Processing Only), which will prevent carriers and XCS from seeing the individual components.</w:t>
      </w:r>
    </w:p>
    <w:p w:rsidR="00E43829" w:rsidRPr="00D64309" w:rsidRDefault="00E43829" w:rsidP="00E43829">
      <w:pPr>
        <w:numPr>
          <w:ilvl w:val="0"/>
          <w:numId w:val="44"/>
        </w:numPr>
        <w:spacing w:after="120"/>
        <w:rPr>
          <w:rFonts w:cs="Arial"/>
        </w:rPr>
      </w:pPr>
      <w:r w:rsidRPr="00D64309">
        <w:rPr>
          <w:rFonts w:cs="Arial"/>
        </w:rPr>
        <w:t>Broker to load all relevant electronic documents e.g. ePANs etc. to support the work</w:t>
      </w:r>
      <w:r w:rsidR="00893EB3">
        <w:rPr>
          <w:rFonts w:cs="Arial"/>
        </w:rPr>
        <w:t>-</w:t>
      </w:r>
      <w:r w:rsidRPr="00D64309">
        <w:rPr>
          <w:rFonts w:cs="Arial"/>
        </w:rPr>
        <w:t>package.</w:t>
      </w:r>
    </w:p>
    <w:p w:rsidR="00E43829" w:rsidRPr="00D64309" w:rsidRDefault="00E43829" w:rsidP="00E43829">
      <w:pPr>
        <w:numPr>
          <w:ilvl w:val="0"/>
          <w:numId w:val="44"/>
        </w:numPr>
        <w:spacing w:after="120"/>
        <w:rPr>
          <w:rFonts w:cs="Arial"/>
        </w:rPr>
      </w:pPr>
      <w:r w:rsidRPr="00D64309">
        <w:rPr>
          <w:rFonts w:cs="Arial"/>
        </w:rPr>
        <w:t>Broker to include written confirmation that the Claims FDO is a complete and accurate reflection of the vertical signing components, with the exception of the commercial terms.</w:t>
      </w:r>
    </w:p>
    <w:p w:rsidR="00E43829" w:rsidRPr="00D64309" w:rsidRDefault="00E43829" w:rsidP="00E43829">
      <w:pPr>
        <w:numPr>
          <w:ilvl w:val="0"/>
          <w:numId w:val="44"/>
        </w:numPr>
        <w:spacing w:after="120"/>
        <w:rPr>
          <w:rFonts w:cs="Arial"/>
        </w:rPr>
      </w:pPr>
      <w:r w:rsidRPr="00D64309">
        <w:rPr>
          <w:rFonts w:cs="Arial"/>
        </w:rPr>
        <w:t>Broker to indicate on the work</w:t>
      </w:r>
      <w:r w:rsidR="008215F0">
        <w:rPr>
          <w:rFonts w:cs="Arial"/>
        </w:rPr>
        <w:t>-</w:t>
      </w:r>
      <w:r w:rsidRPr="00D64309">
        <w:rPr>
          <w:rFonts w:cs="Arial"/>
        </w:rPr>
        <w:t>package that this submission includes a Claims FDO.</w:t>
      </w:r>
    </w:p>
    <w:p w:rsidR="00E43829" w:rsidRPr="00D64309" w:rsidRDefault="00E43829" w:rsidP="00E43829">
      <w:pPr>
        <w:numPr>
          <w:ilvl w:val="0"/>
          <w:numId w:val="44"/>
        </w:numPr>
        <w:spacing w:after="120"/>
        <w:rPr>
          <w:rFonts w:cs="Arial"/>
        </w:rPr>
      </w:pPr>
      <w:r w:rsidRPr="00D64309">
        <w:rPr>
          <w:rFonts w:cs="Arial"/>
        </w:rPr>
        <w:t>Broker to submit the work</w:t>
      </w:r>
      <w:r w:rsidR="008215F0">
        <w:rPr>
          <w:rFonts w:cs="Arial"/>
        </w:rPr>
        <w:t>-</w:t>
      </w:r>
      <w:r w:rsidRPr="00D64309">
        <w:rPr>
          <w:rFonts w:cs="Arial"/>
        </w:rPr>
        <w:t>package to XIS for processing.</w:t>
      </w:r>
    </w:p>
    <w:p w:rsidR="00E43829" w:rsidRPr="00D64309" w:rsidRDefault="00E43829" w:rsidP="00E43829">
      <w:pPr>
        <w:pStyle w:val="Bullets"/>
        <w:spacing w:after="120"/>
        <w:rPr>
          <w:rFonts w:cs="Arial"/>
          <w:b/>
          <w:bCs/>
        </w:rPr>
      </w:pPr>
      <w:r w:rsidRPr="00D64309">
        <w:rPr>
          <w:rFonts w:cs="Arial"/>
          <w:b/>
          <w:bCs/>
        </w:rPr>
        <w:t>XIS premium department</w:t>
      </w:r>
    </w:p>
    <w:p w:rsidR="00E43829" w:rsidRPr="00D64309" w:rsidRDefault="00E43829" w:rsidP="00E43829">
      <w:pPr>
        <w:numPr>
          <w:ilvl w:val="0"/>
          <w:numId w:val="44"/>
        </w:numPr>
        <w:spacing w:after="120"/>
        <w:rPr>
          <w:rFonts w:cs="Arial"/>
        </w:rPr>
      </w:pPr>
      <w:r w:rsidRPr="00D64309">
        <w:rPr>
          <w:rFonts w:cs="Arial"/>
        </w:rPr>
        <w:t>XIS to recognise the vertical placement as one that requires an additional FDO signing.</w:t>
      </w:r>
    </w:p>
    <w:p w:rsidR="00E43829" w:rsidRPr="00D64309" w:rsidRDefault="00E43829" w:rsidP="00E43829">
      <w:pPr>
        <w:numPr>
          <w:ilvl w:val="0"/>
          <w:numId w:val="44"/>
        </w:numPr>
        <w:spacing w:after="120"/>
        <w:rPr>
          <w:rFonts w:cs="Arial"/>
        </w:rPr>
      </w:pPr>
      <w:r w:rsidRPr="00D64309">
        <w:rPr>
          <w:rFonts w:cs="Arial"/>
        </w:rPr>
        <w:t>XIS to process the work</w:t>
      </w:r>
      <w:r w:rsidR="008215F0">
        <w:rPr>
          <w:rFonts w:cs="Arial"/>
        </w:rPr>
        <w:t>-</w:t>
      </w:r>
      <w:r w:rsidRPr="00D64309">
        <w:rPr>
          <w:rFonts w:cs="Arial"/>
        </w:rPr>
        <w:t>package as normal, but additionally allocate an OSND (Original Signing Number and Date) for the Claims FDO.</w:t>
      </w:r>
    </w:p>
    <w:p w:rsidR="00E43829" w:rsidRPr="00D64309" w:rsidRDefault="00E43829" w:rsidP="00E43829">
      <w:pPr>
        <w:numPr>
          <w:ilvl w:val="0"/>
          <w:numId w:val="44"/>
        </w:numPr>
        <w:spacing w:after="120"/>
        <w:rPr>
          <w:rFonts w:cs="Arial"/>
        </w:rPr>
      </w:pPr>
      <w:r w:rsidRPr="00D64309">
        <w:rPr>
          <w:rFonts w:cs="Arial"/>
        </w:rPr>
        <w:t>XIS to add details of the vertical placement signings to the UMR on the Insurers’ Market Repository, as per current practice.</w:t>
      </w:r>
    </w:p>
    <w:p w:rsidR="00E43829" w:rsidRPr="00D64309" w:rsidRDefault="00E43829" w:rsidP="00E43829">
      <w:pPr>
        <w:pStyle w:val="Bullets"/>
        <w:spacing w:after="120"/>
        <w:rPr>
          <w:rFonts w:cs="Arial"/>
          <w:b/>
          <w:bCs/>
        </w:rPr>
      </w:pPr>
      <w:r w:rsidRPr="00D64309">
        <w:rPr>
          <w:rFonts w:cs="Arial"/>
          <w:b/>
          <w:bCs/>
        </w:rPr>
        <w:t>Broker claims department process</w:t>
      </w:r>
    </w:p>
    <w:p w:rsidR="00E43829" w:rsidRPr="00D64309" w:rsidRDefault="00E43829" w:rsidP="00E43829">
      <w:pPr>
        <w:numPr>
          <w:ilvl w:val="0"/>
          <w:numId w:val="44"/>
        </w:numPr>
        <w:spacing w:after="120"/>
        <w:rPr>
          <w:rFonts w:cs="Arial"/>
        </w:rPr>
      </w:pPr>
      <w:r w:rsidRPr="00D64309">
        <w:rPr>
          <w:rFonts w:cs="Arial"/>
        </w:rPr>
        <w:t xml:space="preserve">Once the vertical placement has been signed by XIS, the Broker to obtain details of the sanitised Claims FDO signing and use this signing to load any claims relating to the vertical placement to ECF. (A single UCR should be created per claim, and these should only contain the FDO signing number and date). </w:t>
      </w:r>
      <w:r w:rsidRPr="00D64309">
        <w:rPr>
          <w:rFonts w:cs="Arial"/>
          <w:b/>
        </w:rPr>
        <w:t>Note that no UCRs should be created using the signing numbers and dates of the component placements</w:t>
      </w:r>
      <w:r w:rsidRPr="00D64309">
        <w:rPr>
          <w:rFonts w:cs="Arial"/>
        </w:rPr>
        <w:t>.</w:t>
      </w:r>
    </w:p>
    <w:p w:rsidR="00E43829" w:rsidRPr="00D64309" w:rsidRDefault="00E43829" w:rsidP="00E43829">
      <w:pPr>
        <w:numPr>
          <w:ilvl w:val="0"/>
          <w:numId w:val="44"/>
        </w:numPr>
        <w:spacing w:after="120"/>
        <w:rPr>
          <w:rFonts w:cs="Arial"/>
        </w:rPr>
      </w:pPr>
      <w:r w:rsidRPr="00D64309">
        <w:rPr>
          <w:rFonts w:cs="Arial"/>
        </w:rPr>
        <w:t>Broker to load a statement relating to the status of the premium signing on the IMR within the UMR folder. This will need to be in an area of the UMR that is visible to XCS and Managing Agency claims staff.</w:t>
      </w:r>
    </w:p>
    <w:p w:rsidR="00E43829" w:rsidRPr="00D64309" w:rsidRDefault="00E43829" w:rsidP="00E43829">
      <w:pPr>
        <w:numPr>
          <w:ilvl w:val="0"/>
          <w:numId w:val="44"/>
        </w:numPr>
        <w:spacing w:after="120"/>
        <w:rPr>
          <w:rFonts w:cs="Arial"/>
        </w:rPr>
      </w:pPr>
      <w:r w:rsidRPr="00D64309">
        <w:rPr>
          <w:rFonts w:cs="Arial"/>
        </w:rPr>
        <w:t>Broker to submit the ECF claim to the Lead Agreement Party</w:t>
      </w:r>
    </w:p>
    <w:p w:rsidR="00E43829" w:rsidRPr="00D64309" w:rsidRDefault="00E43829" w:rsidP="00E43829">
      <w:pPr>
        <w:pStyle w:val="Bullets"/>
        <w:spacing w:after="120"/>
        <w:rPr>
          <w:rFonts w:cs="Arial"/>
          <w:b/>
          <w:bCs/>
        </w:rPr>
      </w:pPr>
      <w:r w:rsidRPr="00D64309">
        <w:rPr>
          <w:rFonts w:cs="Arial"/>
          <w:b/>
          <w:bCs/>
        </w:rPr>
        <w:t>Lead Agreement Party process</w:t>
      </w:r>
    </w:p>
    <w:p w:rsidR="00E43829" w:rsidRPr="00D64309" w:rsidRDefault="00E43829" w:rsidP="00E43829">
      <w:pPr>
        <w:numPr>
          <w:ilvl w:val="0"/>
          <w:numId w:val="44"/>
        </w:numPr>
        <w:spacing w:after="120"/>
        <w:rPr>
          <w:rFonts w:cs="Arial"/>
        </w:rPr>
      </w:pPr>
      <w:r w:rsidRPr="00D64309">
        <w:rPr>
          <w:rFonts w:cs="Arial"/>
        </w:rPr>
        <w:t>Lead Agreement Party to handle the claims in ECF as normal, noting that the UCR is lodged against the Claims FDO signing and that the slip to be used for claims handling is the sanitised FDO version on the IMR.</w:t>
      </w:r>
    </w:p>
    <w:p w:rsidR="00E43829" w:rsidRPr="00D64309" w:rsidRDefault="00E43829" w:rsidP="00E43829">
      <w:pPr>
        <w:pStyle w:val="Bullets"/>
        <w:spacing w:after="120"/>
        <w:rPr>
          <w:rFonts w:cs="Arial"/>
          <w:b/>
          <w:bCs/>
        </w:rPr>
      </w:pPr>
      <w:r w:rsidRPr="00D64309">
        <w:rPr>
          <w:rFonts w:cs="Arial"/>
          <w:b/>
          <w:bCs/>
        </w:rPr>
        <w:t>XCS Claims adjusters</w:t>
      </w:r>
    </w:p>
    <w:p w:rsidR="00E43829" w:rsidRPr="00D64309" w:rsidRDefault="00E43829" w:rsidP="00E43829">
      <w:pPr>
        <w:numPr>
          <w:ilvl w:val="0"/>
          <w:numId w:val="44"/>
        </w:numPr>
        <w:spacing w:after="120"/>
        <w:rPr>
          <w:rFonts w:cs="Arial"/>
        </w:rPr>
      </w:pPr>
      <w:r w:rsidRPr="00D64309">
        <w:rPr>
          <w:rFonts w:cs="Arial"/>
        </w:rPr>
        <w:t>XCS to handle the claims in ECF as normal, noting that the UCR is lodged against the Claims FDO signing and that the slip to be used for claims handling is the sanitised FDO version on the IMR.</w:t>
      </w:r>
    </w:p>
    <w:p w:rsidR="00E43829" w:rsidRPr="00D64309" w:rsidRDefault="00E43829" w:rsidP="00E43829">
      <w:pPr>
        <w:numPr>
          <w:ilvl w:val="0"/>
          <w:numId w:val="44"/>
        </w:numPr>
        <w:spacing w:after="120"/>
        <w:rPr>
          <w:rFonts w:cs="Arial"/>
        </w:rPr>
      </w:pPr>
      <w:r w:rsidRPr="00D64309">
        <w:rPr>
          <w:rFonts w:cs="Arial"/>
        </w:rPr>
        <w:t>XCS to review the broker loaded document in the IMR relating to the premium position in accordance with current XCS instructions.</w:t>
      </w:r>
    </w:p>
    <w:p w:rsidR="00E43829" w:rsidRPr="00D64309" w:rsidRDefault="00E43829" w:rsidP="00E43829">
      <w:pPr>
        <w:tabs>
          <w:tab w:val="left" w:pos="720"/>
        </w:tabs>
        <w:spacing w:after="120"/>
        <w:ind w:left="720" w:hanging="720"/>
        <w:rPr>
          <w:rFonts w:cs="Arial"/>
        </w:rPr>
      </w:pPr>
      <w:r w:rsidRPr="00D64309">
        <w:rPr>
          <w:rFonts w:cs="Arial"/>
          <w:b/>
        </w:rPr>
        <w:t>Note</w:t>
      </w:r>
      <w:r w:rsidRPr="00D64309">
        <w:rPr>
          <w:rFonts w:cs="Arial"/>
        </w:rPr>
        <w:t>:</w:t>
      </w:r>
      <w:r w:rsidRPr="00D64309">
        <w:rPr>
          <w:rFonts w:cs="Arial"/>
        </w:rPr>
        <w:tab/>
        <w:t>Where placements are subject to on-going endorsement activity that might affect any claims, any premium or coverage endorsements submitted to XIS for processing on the component signings will also have to be updated on the “Sanitised Claims FDO” slip</w:t>
      </w:r>
    </w:p>
    <w:p w:rsidR="00E43829" w:rsidRPr="00D64309" w:rsidRDefault="00E43829" w:rsidP="009B0864">
      <w:pPr>
        <w:pStyle w:val="Heading3"/>
      </w:pPr>
      <w:bookmarkStart w:id="321" w:name="_Toc389214872"/>
      <w:bookmarkStart w:id="322" w:name="_Toc396989185"/>
      <w:r w:rsidRPr="00D64309">
        <w:t>Process for Paper Premium Submissions</w:t>
      </w:r>
      <w:bookmarkEnd w:id="321"/>
      <w:bookmarkEnd w:id="322"/>
    </w:p>
    <w:p w:rsidR="00E43829" w:rsidRPr="00D64309" w:rsidRDefault="00E43829" w:rsidP="00E43829">
      <w:pPr>
        <w:rPr>
          <w:rFonts w:cs="Arial"/>
        </w:rPr>
      </w:pPr>
      <w:r w:rsidRPr="00D64309">
        <w:rPr>
          <w:rFonts w:cs="Arial"/>
        </w:rPr>
        <w:t xml:space="preserve">The process for paper premium submissions presented to XIS is essentially the same as the A&amp;S process described above, except that the broker should submit paper documents supporting the different components of the vertical placement as a complete set to XIS for premium processing. </w:t>
      </w:r>
      <w:r w:rsidRPr="00D64309">
        <w:rPr>
          <w:rFonts w:cs="Arial"/>
        </w:rPr>
        <w:lastRenderedPageBreak/>
        <w:t>These should include a paper copy of the sanitised Claims FDO slip, to which XIS will append the Claims FDO OSND. The broker should load this to the UMR of any ECF claims submissions. It should also be noted that all components and the Claims FDOs should either be submitted all under A&amp;S or all by paper. XIS will not accept a mixture of paper and A&amp;S submissions - the broker should not try to submit the individual components in paper and the Claims FDO via A&amp;S.</w:t>
      </w:r>
    </w:p>
    <w:p w:rsidR="00B24D97" w:rsidRPr="00D64309" w:rsidRDefault="00B24D97" w:rsidP="009B0864">
      <w:pPr>
        <w:pStyle w:val="Heading4"/>
      </w:pPr>
      <w:bookmarkStart w:id="323" w:name="_Toc161559642"/>
      <w:bookmarkStart w:id="324" w:name="_Toc162669956"/>
      <w:bookmarkStart w:id="325" w:name="_Toc142277069"/>
      <w:bookmarkStart w:id="326" w:name="_Toc389214873"/>
      <w:bookmarkEnd w:id="323"/>
      <w:bookmarkEnd w:id="324"/>
      <w:r w:rsidRPr="00D64309">
        <w:t>Original Documentation</w:t>
      </w:r>
      <w:bookmarkEnd w:id="325"/>
      <w:bookmarkEnd w:id="326"/>
    </w:p>
    <w:p w:rsidR="00B24D97" w:rsidRPr="00D64309" w:rsidRDefault="00B24D97" w:rsidP="00A757A2">
      <w:pPr>
        <w:rPr>
          <w:rFonts w:cs="Arial"/>
        </w:rPr>
      </w:pPr>
      <w:r w:rsidRPr="00D64309">
        <w:rPr>
          <w:rFonts w:cs="Arial"/>
        </w:rPr>
        <w:t>It is the responsibility of any party lodging an electronic copy of a document to ensure that original documents are maintained where necessary.</w:t>
      </w:r>
    </w:p>
    <w:p w:rsidR="00B24D97" w:rsidRPr="00870302" w:rsidRDefault="00B24D97" w:rsidP="009B0864">
      <w:pPr>
        <w:pStyle w:val="Heading3"/>
      </w:pPr>
      <w:bookmarkStart w:id="327" w:name="Delegation1"/>
      <w:bookmarkStart w:id="328" w:name="_Toc389214874"/>
      <w:bookmarkStart w:id="329" w:name="_Toc396989186"/>
      <w:bookmarkEnd w:id="327"/>
      <w:r w:rsidRPr="00870302">
        <w:t>Claims where Subsequent Premium is Due</w:t>
      </w:r>
      <w:bookmarkEnd w:id="328"/>
      <w:bookmarkEnd w:id="329"/>
    </w:p>
    <w:p w:rsidR="00B24D97" w:rsidRPr="00D64309" w:rsidRDefault="00B24D97" w:rsidP="003F2826">
      <w:pPr>
        <w:rPr>
          <w:rFonts w:cs="Arial"/>
        </w:rPr>
      </w:pPr>
      <w:r w:rsidRPr="00D64309">
        <w:rPr>
          <w:rFonts w:cs="Arial"/>
        </w:rPr>
        <w:t>If an additional premium becomes due on a risk due to the incidence of a claim, users need to be aware that there is currently no way to link the current claim agreement to the additional premium. These types of claim may be handled appropriately on ECF, with appropriate responses being raised to the claim.</w:t>
      </w:r>
    </w:p>
    <w:p w:rsidR="00B24D97" w:rsidRPr="00D64309" w:rsidRDefault="00B24D97" w:rsidP="009B13FA">
      <w:pPr>
        <w:pStyle w:val="Heading2"/>
        <w:rPr>
          <w:rFonts w:cs="Arial"/>
        </w:rPr>
      </w:pPr>
      <w:bookmarkStart w:id="330" w:name="Reinstatements"/>
      <w:bookmarkStart w:id="331" w:name="_Toc134427311"/>
      <w:bookmarkStart w:id="332" w:name="_Toc142277075"/>
      <w:bookmarkStart w:id="333" w:name="_Toc389214875"/>
      <w:bookmarkStart w:id="334" w:name="_Toc396989187"/>
      <w:bookmarkEnd w:id="330"/>
      <w:r w:rsidRPr="00D64309">
        <w:rPr>
          <w:rFonts w:cs="Arial"/>
        </w:rPr>
        <w:t>Simultaneous Reinstatements</w:t>
      </w:r>
      <w:bookmarkEnd w:id="331"/>
      <w:bookmarkEnd w:id="332"/>
      <w:bookmarkEnd w:id="333"/>
      <w:bookmarkEnd w:id="334"/>
    </w:p>
    <w:p w:rsidR="00B24D97" w:rsidRPr="00D64309" w:rsidRDefault="00B24D97" w:rsidP="00141C18">
      <w:pPr>
        <w:rPr>
          <w:rFonts w:cs="Arial"/>
        </w:rPr>
      </w:pPr>
      <w:r w:rsidRPr="00D64309">
        <w:rPr>
          <w:rFonts w:cs="Arial"/>
        </w:rPr>
        <w:t xml:space="preserve">Where the policy provides for reinstatement and subject that the reinstatements have not been exhausted, when presenting the claim in the electronic claims file, in addition to the standard process, the following procedure should be followed (Note: all documents added to the IMR should follow the document naming conventions detailed in </w:t>
      </w:r>
      <w:r w:rsidRPr="00893EB3">
        <w:rPr>
          <w:rFonts w:cs="Arial"/>
        </w:rPr>
        <w:t>section</w:t>
      </w:r>
      <w:r w:rsidR="00893EB3" w:rsidRPr="00893EB3">
        <w:rPr>
          <w:rFonts w:cs="Arial"/>
        </w:rPr>
        <w:t xml:space="preserve"> </w:t>
      </w:r>
      <w:hyperlink w:anchor="_Document_Guidelines" w:history="1">
        <w:r w:rsidR="00893EB3" w:rsidRPr="00893EB3">
          <w:rPr>
            <w:rStyle w:val="Hyperlink"/>
            <w:rFonts w:cs="Arial"/>
          </w:rPr>
          <w:t>2.3.11</w:t>
        </w:r>
      </w:hyperlink>
      <w:r w:rsidRPr="00D64309">
        <w:rPr>
          <w:rFonts w:cs="Arial"/>
        </w:rPr>
        <w:t xml:space="preserve"> where possible):</w:t>
      </w:r>
    </w:p>
    <w:p w:rsidR="00B24D97" w:rsidRPr="00D64309" w:rsidRDefault="00B24D97" w:rsidP="009B13FA">
      <w:pPr>
        <w:pStyle w:val="Heading3"/>
        <w:rPr>
          <w:rFonts w:cs="Arial"/>
        </w:rPr>
      </w:pPr>
      <w:bookmarkStart w:id="335" w:name="_Toc142277076"/>
      <w:bookmarkStart w:id="336" w:name="_Toc389214876"/>
      <w:bookmarkStart w:id="337" w:name="_Toc396989188"/>
      <w:r w:rsidRPr="00D64309">
        <w:rPr>
          <w:rFonts w:cs="Arial"/>
        </w:rPr>
        <w:t>Broker Submission</w:t>
      </w:r>
      <w:bookmarkEnd w:id="335"/>
      <w:bookmarkEnd w:id="336"/>
      <w:bookmarkEnd w:id="337"/>
    </w:p>
    <w:p w:rsidR="00B24D97" w:rsidRPr="00D64309" w:rsidRDefault="00B24D97" w:rsidP="00052792">
      <w:pPr>
        <w:pStyle w:val="Bullets"/>
        <w:spacing w:after="120"/>
        <w:rPr>
          <w:rFonts w:cs="Arial"/>
        </w:rPr>
      </w:pPr>
      <w:r w:rsidRPr="00D64309">
        <w:rPr>
          <w:rFonts w:cs="Arial"/>
        </w:rPr>
        <w:t>The broker must load an image of the LPAN simultaneously with the claim documents and additionally load a document showing the relevant references (UMR, UCR &amp; TRs) and stating the basis of the reinstatement calculation e.g. Currency of loss, Final Earned Premium, Pro Rata to time and amount, as set out in the slip, and detailing the calculation of the amount due, to the Insurers’ Market Repository (IMR). These documents must be placed in the Misc/historical folder of the relevant UMR in the structured area for the IMR. RIP documents are stored in the UMR folder owing to the fact that they are premium transactions rather than claim and because the RIP may not be attributable to the claim that triggers its collection.</w:t>
      </w:r>
    </w:p>
    <w:p w:rsidR="00B24D97" w:rsidRPr="00D64309" w:rsidRDefault="00B24D97" w:rsidP="00052792">
      <w:pPr>
        <w:pStyle w:val="Bullets2"/>
        <w:spacing w:after="120"/>
        <w:rPr>
          <w:rFonts w:cs="Arial"/>
        </w:rPr>
      </w:pPr>
      <w:r w:rsidRPr="00D64309">
        <w:rPr>
          <w:rFonts w:cs="Arial"/>
        </w:rPr>
        <w:t>If appropriate a separate document showing the relevant references (UMR, UCR &amp; TRs) and applicable premium adjustment calculations and consequent adjustment to reinstatement premiums should be included.</w:t>
      </w:r>
    </w:p>
    <w:p w:rsidR="00B24D97" w:rsidRPr="00D64309" w:rsidRDefault="00B24D97" w:rsidP="006E3773">
      <w:pPr>
        <w:pStyle w:val="Bullets"/>
        <w:spacing w:after="120"/>
        <w:rPr>
          <w:rFonts w:cs="Arial"/>
        </w:rPr>
      </w:pPr>
      <w:r w:rsidRPr="00D64309">
        <w:rPr>
          <w:rFonts w:cs="Arial"/>
        </w:rPr>
        <w:t>The broker is required to state in the 1st lines of the claim narrative of the settlement request that this claim is subject to a simultaneous reinstatement and that the LPAN has been submitted electronically</w:t>
      </w:r>
    </w:p>
    <w:p w:rsidR="00B24D97" w:rsidRPr="00D64309" w:rsidRDefault="00B24D97" w:rsidP="00052792">
      <w:pPr>
        <w:pStyle w:val="Bullets"/>
        <w:spacing w:after="120"/>
        <w:rPr>
          <w:rFonts w:cs="Arial"/>
        </w:rPr>
      </w:pPr>
      <w:r w:rsidRPr="00D64309">
        <w:rPr>
          <w:rFonts w:cs="Arial"/>
        </w:rPr>
        <w:t>The broker must indicate that the LPAN requires simultaneous processing with the corresponding claim.</w:t>
      </w:r>
    </w:p>
    <w:p w:rsidR="00B24D97" w:rsidRPr="00D64309" w:rsidRDefault="00B24D97" w:rsidP="00052792">
      <w:pPr>
        <w:pStyle w:val="Bullets"/>
        <w:spacing w:after="120"/>
        <w:rPr>
          <w:rFonts w:cs="Arial"/>
        </w:rPr>
      </w:pPr>
      <w:r w:rsidRPr="00D64309">
        <w:rPr>
          <w:rFonts w:cs="Arial"/>
        </w:rPr>
        <w:t>The RIP documents must contain a cross reference to the UCR(s) and TR(s) to which they correspond in order to ensure the RIP is processed simultaneously with the intended claim payment.</w:t>
      </w:r>
    </w:p>
    <w:p w:rsidR="00B24D97" w:rsidRPr="00D64309" w:rsidRDefault="00B24D97" w:rsidP="00052792">
      <w:pPr>
        <w:pStyle w:val="Bullets"/>
        <w:spacing w:after="120"/>
        <w:rPr>
          <w:rFonts w:cs="Arial"/>
        </w:rPr>
      </w:pPr>
      <w:r w:rsidRPr="00D64309">
        <w:rPr>
          <w:rFonts w:cs="Arial"/>
        </w:rPr>
        <w:t>A separate LPAN must be submitted for the Lloyd’s and Companies shares.</w:t>
      </w:r>
    </w:p>
    <w:p w:rsidR="00B24D97" w:rsidRPr="00D64309" w:rsidRDefault="00B24D97" w:rsidP="00052792">
      <w:pPr>
        <w:pStyle w:val="Bullets"/>
        <w:spacing w:after="120"/>
        <w:rPr>
          <w:rFonts w:cs="Arial"/>
        </w:rPr>
      </w:pPr>
      <w:r w:rsidRPr="00D64309">
        <w:rPr>
          <w:rFonts w:cs="Arial"/>
        </w:rPr>
        <w:t>The submission of the Lloyd’s LPAN does not trigger action as no action can be taken until the claim has been agreed by the Lead Agreement Party. This means that neither the XIS tracker nor the XCS tracker must be updated with the submission at this point.</w:t>
      </w:r>
    </w:p>
    <w:p w:rsidR="00B24D97" w:rsidRPr="00D64309" w:rsidRDefault="00B24D97" w:rsidP="009B13FA">
      <w:pPr>
        <w:pStyle w:val="Heading3"/>
        <w:rPr>
          <w:rFonts w:cs="Arial"/>
        </w:rPr>
      </w:pPr>
      <w:bookmarkStart w:id="338" w:name="_Toc142277077"/>
      <w:bookmarkStart w:id="339" w:name="_Toc389214877"/>
      <w:bookmarkStart w:id="340" w:name="_Toc396989189"/>
      <w:r w:rsidRPr="00D64309">
        <w:rPr>
          <w:rFonts w:cs="Arial"/>
        </w:rPr>
        <w:t>Lead Agreement Party Handling</w:t>
      </w:r>
      <w:bookmarkEnd w:id="338"/>
      <w:bookmarkEnd w:id="339"/>
      <w:bookmarkEnd w:id="340"/>
    </w:p>
    <w:p w:rsidR="00B24D97" w:rsidRDefault="00B24D97" w:rsidP="00052792">
      <w:pPr>
        <w:rPr>
          <w:rFonts w:cs="Arial"/>
        </w:rPr>
      </w:pPr>
      <w:r w:rsidRPr="00D64309">
        <w:rPr>
          <w:rFonts w:cs="Arial"/>
        </w:rPr>
        <w:t xml:space="preserve">In conjunction with the response to the claim the Lead Agreement Party must indicate that simultaneous settlement is required and ensure that the RIP Indicator is ‘set on’. Agreement to the Claim is also agreement to the Simultaneous Reinstatement Premium unless </w:t>
      </w:r>
      <w:r w:rsidRPr="00D64309">
        <w:rPr>
          <w:rFonts w:cs="Arial"/>
          <w:b/>
        </w:rPr>
        <w:t>specifically</w:t>
      </w:r>
      <w:r w:rsidRPr="00D64309">
        <w:rPr>
          <w:rFonts w:cs="Arial"/>
        </w:rPr>
        <w:t xml:space="preserve"> stated otherwise in the Agreement Party comments.</w:t>
      </w:r>
    </w:p>
    <w:p w:rsidR="004128DB" w:rsidRPr="00D64309" w:rsidRDefault="004128DB" w:rsidP="00052792">
      <w:pPr>
        <w:rPr>
          <w:rFonts w:cs="Arial"/>
        </w:rPr>
      </w:pPr>
    </w:p>
    <w:p w:rsidR="00B24D97" w:rsidRPr="00D64309" w:rsidRDefault="00B24D97" w:rsidP="009B13FA">
      <w:pPr>
        <w:pStyle w:val="Heading3"/>
        <w:rPr>
          <w:rFonts w:cs="Arial"/>
        </w:rPr>
      </w:pPr>
      <w:bookmarkStart w:id="341" w:name="_Toc142277079"/>
      <w:bookmarkStart w:id="342" w:name="_Toc389214878"/>
      <w:bookmarkStart w:id="343" w:name="_Toc396989190"/>
      <w:r w:rsidRPr="00D64309">
        <w:rPr>
          <w:rFonts w:cs="Arial"/>
        </w:rPr>
        <w:lastRenderedPageBreak/>
        <w:t>ECF XCS Handling</w:t>
      </w:r>
      <w:bookmarkEnd w:id="341"/>
      <w:bookmarkEnd w:id="342"/>
      <w:bookmarkEnd w:id="343"/>
    </w:p>
    <w:p w:rsidR="00B24D97" w:rsidRPr="00D64309" w:rsidRDefault="00B24D97" w:rsidP="00052792">
      <w:pPr>
        <w:pStyle w:val="Bullets"/>
        <w:spacing w:after="120"/>
        <w:rPr>
          <w:rFonts w:cs="Arial"/>
        </w:rPr>
      </w:pPr>
      <w:r w:rsidRPr="00D64309">
        <w:rPr>
          <w:rFonts w:cs="Arial"/>
        </w:rPr>
        <w:t>The claim will be added to tracker using the same process as a claim that does not involve a simultaneous reinstatement.</w:t>
      </w:r>
    </w:p>
    <w:p w:rsidR="00B24D97" w:rsidRPr="00D64309" w:rsidRDefault="00B24D97" w:rsidP="00052792">
      <w:pPr>
        <w:pStyle w:val="Bullets"/>
        <w:spacing w:after="120"/>
        <w:rPr>
          <w:rFonts w:cs="Arial"/>
        </w:rPr>
      </w:pPr>
      <w:r w:rsidRPr="00D64309">
        <w:rPr>
          <w:rFonts w:cs="Arial"/>
        </w:rPr>
        <w:t>The XCS adjuster is triggered to review the claim by XCS workflow. The LPAN and supporting calculations will be available to review via the UMR folder.</w:t>
      </w:r>
    </w:p>
    <w:p w:rsidR="00B24D97" w:rsidRPr="00D64309" w:rsidRDefault="00B24D97" w:rsidP="008B3F56">
      <w:pPr>
        <w:pStyle w:val="Bullets"/>
        <w:spacing w:after="120"/>
        <w:rPr>
          <w:rFonts w:cs="Arial"/>
        </w:rPr>
      </w:pPr>
      <w:r w:rsidRPr="00D64309">
        <w:rPr>
          <w:rFonts w:cs="Arial"/>
        </w:rPr>
        <w:t xml:space="preserve">XCS will coordinate the completion of the claim settlement and the premium transaction to ensure they are completed on the same day. Agreement to the Claim is also agreement to the Simultaneous Reinstatement Premium unless </w:t>
      </w:r>
      <w:r w:rsidRPr="00D64309">
        <w:rPr>
          <w:rFonts w:cs="Arial"/>
          <w:b/>
        </w:rPr>
        <w:t>specifically</w:t>
      </w:r>
      <w:r w:rsidRPr="00D64309">
        <w:rPr>
          <w:rFonts w:cs="Arial"/>
        </w:rPr>
        <w:t xml:space="preserve"> stated otherwise in the Agreement Party comments. A new document should be added detailing the relative SNDs for each currency applicable to the reinstatement premium.</w:t>
      </w:r>
    </w:p>
    <w:p w:rsidR="00B24D97" w:rsidRPr="00D64309" w:rsidRDefault="00B24D97" w:rsidP="009B13FA">
      <w:pPr>
        <w:pStyle w:val="Heading2"/>
        <w:rPr>
          <w:rFonts w:cs="Arial"/>
        </w:rPr>
      </w:pPr>
      <w:bookmarkStart w:id="344" w:name="_Toc142277081"/>
      <w:bookmarkStart w:id="345" w:name="_Toc389214879"/>
      <w:bookmarkStart w:id="346" w:name="_Toc396989191"/>
      <w:r w:rsidRPr="00D64309">
        <w:rPr>
          <w:rFonts w:cs="Arial"/>
        </w:rPr>
        <w:t>Reinsurance</w:t>
      </w:r>
      <w:bookmarkEnd w:id="344"/>
      <w:bookmarkEnd w:id="345"/>
      <w:bookmarkEnd w:id="346"/>
    </w:p>
    <w:p w:rsidR="00B24D97" w:rsidRPr="00D64309" w:rsidRDefault="00B24D97" w:rsidP="00B55643">
      <w:pPr>
        <w:rPr>
          <w:rFonts w:cs="Arial"/>
        </w:rPr>
      </w:pPr>
      <w:r w:rsidRPr="00D64309">
        <w:rPr>
          <w:rFonts w:cs="Arial"/>
        </w:rPr>
        <w:t>Under ECF the standard process should be followed applying the following additional points where appropriate:</w:t>
      </w:r>
    </w:p>
    <w:p w:rsidR="00B24D97" w:rsidRPr="00D64309" w:rsidRDefault="00B24D97" w:rsidP="00B55643">
      <w:pPr>
        <w:pStyle w:val="Bullets"/>
        <w:spacing w:after="120"/>
        <w:rPr>
          <w:rFonts w:cs="Arial"/>
        </w:rPr>
      </w:pPr>
      <w:r w:rsidRPr="00D64309">
        <w:rPr>
          <w:rFonts w:cs="Arial"/>
        </w:rPr>
        <w:t>See list of excluded transactions from ECF e.g. proportional treaty, LOC etc.</w:t>
      </w:r>
    </w:p>
    <w:p w:rsidR="00B24D97" w:rsidRPr="00D64309" w:rsidRDefault="00B24D97" w:rsidP="00F611FA">
      <w:pPr>
        <w:pStyle w:val="Bullets"/>
        <w:spacing w:after="120"/>
        <w:rPr>
          <w:rFonts w:cs="Arial"/>
        </w:rPr>
      </w:pPr>
      <w:r w:rsidRPr="00D64309">
        <w:rPr>
          <w:rFonts w:cs="Arial"/>
        </w:rPr>
        <w:t>Any transaction that requires a ‘partial market’ signing, as described in section</w:t>
      </w:r>
      <w:r w:rsidR="00893EB3">
        <w:t xml:space="preserve"> </w:t>
      </w:r>
      <w:hyperlink w:anchor="_Partial_Markets" w:history="1">
        <w:r w:rsidR="00893EB3" w:rsidRPr="00893EB3">
          <w:rPr>
            <w:rStyle w:val="Hyperlink"/>
          </w:rPr>
          <w:t>2.28</w:t>
        </w:r>
      </w:hyperlink>
      <w:r w:rsidRPr="00893EB3">
        <w:rPr>
          <w:rFonts w:cs="Arial"/>
        </w:rPr>
        <w:t>,</w:t>
      </w:r>
      <w:r w:rsidRPr="00D64309">
        <w:rPr>
          <w:rFonts w:cs="Arial"/>
        </w:rPr>
        <w:t xml:space="preserve"> must revert to the paper process</w:t>
      </w:r>
      <w:r w:rsidR="008215F0">
        <w:rPr>
          <w:rFonts w:cs="Arial"/>
        </w:rPr>
        <w:t>.</w:t>
      </w:r>
    </w:p>
    <w:p w:rsidR="00B24D97" w:rsidRPr="00D64309" w:rsidRDefault="00B24D97" w:rsidP="00B55643">
      <w:pPr>
        <w:pStyle w:val="Bullets"/>
        <w:spacing w:after="120"/>
        <w:rPr>
          <w:rFonts w:cs="Arial"/>
        </w:rPr>
      </w:pPr>
      <w:r w:rsidRPr="00D64309">
        <w:rPr>
          <w:rFonts w:cs="Arial"/>
        </w:rPr>
        <w:t>Aggregate claims – see section</w:t>
      </w:r>
      <w:r w:rsidR="00893EB3">
        <w:t xml:space="preserve"> </w:t>
      </w:r>
      <w:hyperlink w:anchor="_Aggregates" w:history="1">
        <w:r w:rsidR="00893EB3" w:rsidRPr="00893EB3">
          <w:rPr>
            <w:rStyle w:val="Hyperlink"/>
          </w:rPr>
          <w:t>2.27</w:t>
        </w:r>
      </w:hyperlink>
      <w:r w:rsidRPr="00D64309">
        <w:rPr>
          <w:rFonts w:cs="Arial"/>
        </w:rPr>
        <w:t>. In particular note splitting out of major losses.</w:t>
      </w:r>
    </w:p>
    <w:p w:rsidR="00B24D97" w:rsidRPr="00D64309" w:rsidRDefault="00B24D97" w:rsidP="00B55643">
      <w:pPr>
        <w:pStyle w:val="Bullets"/>
        <w:spacing w:after="120"/>
        <w:rPr>
          <w:rFonts w:cs="Arial"/>
        </w:rPr>
      </w:pPr>
      <w:r w:rsidRPr="00D64309">
        <w:rPr>
          <w:rFonts w:cs="Arial"/>
        </w:rPr>
        <w:t>Cedant’s collecting note and supporting ‘Proof of Loss’ documentation are to be included in the UCR folder coupled to claims endorsements showing the application of limits and retentions (taking account of currency apportionment) to the losses involved.</w:t>
      </w:r>
    </w:p>
    <w:p w:rsidR="00B24D97" w:rsidRPr="00D64309" w:rsidRDefault="00B24D97" w:rsidP="00B55643">
      <w:pPr>
        <w:pStyle w:val="Bullets"/>
        <w:spacing w:after="120"/>
        <w:rPr>
          <w:rFonts w:cs="Arial"/>
        </w:rPr>
      </w:pPr>
      <w:r w:rsidRPr="00D64309">
        <w:rPr>
          <w:rFonts w:cs="Arial"/>
        </w:rPr>
        <w:t xml:space="preserve">Related premium entries to be included in premium folder – see section </w:t>
      </w:r>
      <w:hyperlink w:anchor="_Premium_submission_and" w:history="1">
        <w:r w:rsidR="00893EB3" w:rsidRPr="00893EB3">
          <w:rPr>
            <w:rStyle w:val="Hyperlink"/>
          </w:rPr>
          <w:t>2.21</w:t>
        </w:r>
      </w:hyperlink>
      <w:r w:rsidRPr="00D64309">
        <w:rPr>
          <w:rFonts w:cs="Arial"/>
        </w:rPr>
        <w:t xml:space="preserve"> on Reinstatement premiums.</w:t>
      </w:r>
    </w:p>
    <w:p w:rsidR="00B24D97" w:rsidRPr="00D64309" w:rsidRDefault="00B24D97" w:rsidP="00B55643">
      <w:pPr>
        <w:pStyle w:val="Bullets"/>
        <w:spacing w:after="120"/>
        <w:rPr>
          <w:rFonts w:cs="Arial"/>
        </w:rPr>
      </w:pPr>
      <w:r w:rsidRPr="00D64309">
        <w:rPr>
          <w:rFonts w:cs="Arial"/>
        </w:rPr>
        <w:t xml:space="preserve">Where multiple contracts are involved via ‘Interlocking Clause’, clear reference to corresponding UMR &amp; UCR is to be included in the narrative entered by the broker and copies of the calculations included in all claims transactions. Reinsurers should ensure they respond to all claims transactions together with a consistent approach.  </w:t>
      </w:r>
    </w:p>
    <w:p w:rsidR="00B24D97" w:rsidRPr="00D64309" w:rsidRDefault="00B24D97" w:rsidP="00B55643">
      <w:pPr>
        <w:pStyle w:val="Bullets"/>
        <w:spacing w:after="120"/>
        <w:rPr>
          <w:rFonts w:cs="Arial"/>
        </w:rPr>
      </w:pPr>
      <w:r w:rsidRPr="00D64309">
        <w:rPr>
          <w:rFonts w:cs="Arial"/>
        </w:rPr>
        <w:t>Any special terms governing marshalling of losses, indexation and warranties will be outlined in the placing slip &amp; stored in the relevant UMR folder. These must be taken into account when preparing schedules and/or spreadsheets for inclusion in the claims file by the broker and clearly referenced showing UMR/UCR and version numbers as appropriate.</w:t>
      </w:r>
    </w:p>
    <w:p w:rsidR="00B24D97" w:rsidRPr="00D64309" w:rsidRDefault="00B24D97" w:rsidP="00B55643">
      <w:pPr>
        <w:pStyle w:val="Bullets"/>
        <w:spacing w:after="120"/>
        <w:rPr>
          <w:rFonts w:cs="Arial"/>
        </w:rPr>
      </w:pPr>
      <w:r w:rsidRPr="00D64309">
        <w:rPr>
          <w:rFonts w:cs="Arial"/>
        </w:rPr>
        <w:t>The Broker must alert the reinsurer of any key information pertinent to the loss via the claim narrative.</w:t>
      </w:r>
    </w:p>
    <w:p w:rsidR="00B24D97" w:rsidRPr="00D64309" w:rsidRDefault="00B24D97" w:rsidP="009B13FA">
      <w:pPr>
        <w:pStyle w:val="Heading2"/>
        <w:rPr>
          <w:rFonts w:cs="Arial"/>
        </w:rPr>
      </w:pPr>
      <w:bookmarkStart w:id="347" w:name="Corrections"/>
      <w:bookmarkStart w:id="348" w:name="_Corrections"/>
      <w:bookmarkStart w:id="349" w:name="_Toc134427312"/>
      <w:bookmarkStart w:id="350" w:name="_Toc142277082"/>
      <w:bookmarkStart w:id="351" w:name="_Toc389214880"/>
      <w:bookmarkStart w:id="352" w:name="_Toc396989192"/>
      <w:bookmarkEnd w:id="347"/>
      <w:bookmarkEnd w:id="348"/>
      <w:r w:rsidRPr="00D64309">
        <w:rPr>
          <w:rFonts w:cs="Arial"/>
        </w:rPr>
        <w:t>Corrections</w:t>
      </w:r>
      <w:bookmarkEnd w:id="349"/>
      <w:bookmarkEnd w:id="350"/>
      <w:bookmarkEnd w:id="351"/>
      <w:bookmarkEnd w:id="352"/>
    </w:p>
    <w:p w:rsidR="00B24D97" w:rsidRPr="00D64309" w:rsidRDefault="00B24D97" w:rsidP="00067B5E">
      <w:pPr>
        <w:rPr>
          <w:rFonts w:cs="Arial"/>
        </w:rPr>
      </w:pPr>
      <w:r w:rsidRPr="00D64309">
        <w:rPr>
          <w:rFonts w:cs="Arial"/>
        </w:rPr>
        <w:t>A change to material risk data will require the UCR to be cancelled and replaced. Examples of when this might occur include; when there is a change to the UMR, a change to the OSND, a change to the market, or when a change to the currency is required and there are not enough “spare” currencies on the UCR to enable the change.</w:t>
      </w:r>
    </w:p>
    <w:p w:rsidR="004128DB" w:rsidRDefault="00B24D97" w:rsidP="004128DB">
      <w:pPr>
        <w:rPr>
          <w:rFonts w:cs="Arial"/>
        </w:rPr>
      </w:pPr>
      <w:r w:rsidRPr="00D64309">
        <w:rPr>
          <w:rFonts w:cs="Arial"/>
        </w:rPr>
        <w:t>Therefore, following a Query/Return response to a transaction, or where a broker has been advised of the need to correct a transaction by XCS; and a change to the UCR is necessary (brokers should liaise with Agreement Parties, including XCS, if they are unsure), the following process should be followed:</w:t>
      </w:r>
      <w:bookmarkStart w:id="353" w:name="OLE_LINK5"/>
    </w:p>
    <w:p w:rsidR="004128DB" w:rsidRDefault="00B24D97" w:rsidP="004128DB">
      <w:pPr>
        <w:pStyle w:val="ListParagraph"/>
        <w:numPr>
          <w:ilvl w:val="0"/>
          <w:numId w:val="101"/>
        </w:numPr>
        <w:rPr>
          <w:rFonts w:ascii="Arial" w:hAnsi="Arial" w:cs="Arial"/>
          <w:sz w:val="20"/>
          <w:szCs w:val="20"/>
        </w:rPr>
      </w:pPr>
      <w:r w:rsidRPr="004128DB">
        <w:rPr>
          <w:rFonts w:ascii="Arial" w:hAnsi="Arial" w:cs="Arial"/>
          <w:sz w:val="20"/>
          <w:szCs w:val="20"/>
        </w:rPr>
        <w:t xml:space="preserve">The broker </w:t>
      </w:r>
      <w:r w:rsidRPr="004128DB">
        <w:rPr>
          <w:rFonts w:ascii="Arial" w:hAnsi="Arial" w:cs="Arial"/>
          <w:b/>
          <w:sz w:val="20"/>
          <w:szCs w:val="20"/>
        </w:rPr>
        <w:t>must</w:t>
      </w:r>
      <w:r w:rsidRPr="004128DB">
        <w:rPr>
          <w:rFonts w:ascii="Arial" w:hAnsi="Arial" w:cs="Arial"/>
          <w:sz w:val="20"/>
          <w:szCs w:val="20"/>
        </w:rPr>
        <w:t xml:space="preserve"> cancel the original UCR and create a replacement, copying all documentation to the new UCR. The broker </w:t>
      </w:r>
      <w:r w:rsidRPr="004128DB">
        <w:rPr>
          <w:rFonts w:ascii="Arial" w:hAnsi="Arial" w:cs="Arial"/>
          <w:b/>
          <w:sz w:val="20"/>
          <w:szCs w:val="20"/>
        </w:rPr>
        <w:t>must</w:t>
      </w:r>
      <w:r w:rsidRPr="004128DB">
        <w:rPr>
          <w:rFonts w:ascii="Arial" w:hAnsi="Arial" w:cs="Arial"/>
          <w:sz w:val="20"/>
          <w:szCs w:val="20"/>
        </w:rPr>
        <w:t xml:space="preserve"> also cross-refer the new UCR to the old UCR; if this is not done there is a risk that XCS will be unaware that the new UCR is a resubmission and the reserve may be duplicated </w:t>
      </w:r>
    </w:p>
    <w:p w:rsidR="004128DB" w:rsidRPr="004128DB" w:rsidRDefault="00B24D97" w:rsidP="004128DB">
      <w:pPr>
        <w:pStyle w:val="ListParagraph"/>
        <w:numPr>
          <w:ilvl w:val="0"/>
          <w:numId w:val="101"/>
        </w:numPr>
        <w:rPr>
          <w:rFonts w:ascii="Arial" w:hAnsi="Arial" w:cs="Arial"/>
          <w:sz w:val="20"/>
          <w:szCs w:val="20"/>
        </w:rPr>
      </w:pPr>
      <w:r w:rsidRPr="004128DB">
        <w:rPr>
          <w:rFonts w:ascii="Arial" w:hAnsi="Arial" w:cs="Arial"/>
          <w:sz w:val="20"/>
          <w:szCs w:val="20"/>
        </w:rPr>
        <w:lastRenderedPageBreak/>
        <w:t>If the UCR is cancelled and replaced, previous Agreement Party comments will not be available unless they are copied to documents under the new UCR. Brokers and Agreement Parties (including XCS) should liaise and agree who will do this.</w:t>
      </w:r>
      <w:bookmarkEnd w:id="353"/>
    </w:p>
    <w:p w:rsidR="004128DB" w:rsidRPr="004128DB" w:rsidRDefault="00B24D97" w:rsidP="004128DB">
      <w:pPr>
        <w:pStyle w:val="ListParagraph"/>
        <w:numPr>
          <w:ilvl w:val="0"/>
          <w:numId w:val="101"/>
        </w:numPr>
        <w:rPr>
          <w:rFonts w:ascii="Arial" w:hAnsi="Arial" w:cs="Arial"/>
          <w:sz w:val="20"/>
          <w:szCs w:val="20"/>
        </w:rPr>
      </w:pPr>
      <w:r w:rsidRPr="004128DB">
        <w:rPr>
          <w:rFonts w:ascii="Arial" w:hAnsi="Arial" w:cs="Arial"/>
          <w:sz w:val="20"/>
          <w:szCs w:val="20"/>
        </w:rPr>
        <w:t>The Lead Agreement Party must wait for both the cancellation and replacement transactions to become available for a response. They must also ensure that the copy of the file complete and accurate (including any “underwriter only” documents). The Lead Agreement Party should ensure that both the cancellation and replacement transactions can have the same response.</w:t>
      </w:r>
      <w:bookmarkStart w:id="354" w:name="OLE_LINK6"/>
    </w:p>
    <w:p w:rsidR="004128DB" w:rsidRPr="004128DB" w:rsidRDefault="00B24D97" w:rsidP="004128DB">
      <w:pPr>
        <w:pStyle w:val="ListParagraph"/>
        <w:numPr>
          <w:ilvl w:val="0"/>
          <w:numId w:val="101"/>
        </w:numPr>
        <w:rPr>
          <w:rFonts w:ascii="Arial" w:hAnsi="Arial" w:cs="Arial"/>
          <w:sz w:val="20"/>
          <w:szCs w:val="20"/>
        </w:rPr>
      </w:pPr>
      <w:r w:rsidRPr="004128DB">
        <w:rPr>
          <w:rFonts w:ascii="Arial" w:hAnsi="Arial" w:cs="Arial"/>
          <w:sz w:val="20"/>
          <w:szCs w:val="20"/>
        </w:rPr>
        <w:t>Subsequent Agreement Parties should repeat (3) above</w:t>
      </w:r>
      <w:bookmarkEnd w:id="354"/>
      <w:r w:rsidRPr="004128DB">
        <w:rPr>
          <w:rFonts w:ascii="Arial" w:hAnsi="Arial" w:cs="Arial"/>
          <w:sz w:val="20"/>
          <w:szCs w:val="20"/>
        </w:rPr>
        <w:t>,</w:t>
      </w:r>
    </w:p>
    <w:p w:rsidR="00B24D97" w:rsidRPr="004128DB" w:rsidRDefault="00B24D97" w:rsidP="004128DB">
      <w:pPr>
        <w:pStyle w:val="ListParagraph"/>
        <w:numPr>
          <w:ilvl w:val="0"/>
          <w:numId w:val="101"/>
        </w:numPr>
        <w:rPr>
          <w:rFonts w:ascii="Arial" w:hAnsi="Arial" w:cs="Arial"/>
          <w:sz w:val="20"/>
          <w:szCs w:val="20"/>
        </w:rPr>
      </w:pPr>
      <w:r w:rsidRPr="004128DB">
        <w:rPr>
          <w:rFonts w:ascii="Arial" w:hAnsi="Arial" w:cs="Arial"/>
          <w:sz w:val="20"/>
          <w:szCs w:val="20"/>
        </w:rPr>
        <w:t>XCS will then process the CLASS transaction in XCS CLASS creating new or amended XCRs as appropriate. When the XCRs are completed, SCMs (and USMs where appropriate) will be produced and distributed to the market on the claim.</w:t>
      </w:r>
    </w:p>
    <w:p w:rsidR="00B24D97" w:rsidRPr="00D64309" w:rsidRDefault="00B24D97" w:rsidP="009B13FA">
      <w:pPr>
        <w:pStyle w:val="Heading3"/>
        <w:rPr>
          <w:rFonts w:cs="Arial"/>
        </w:rPr>
      </w:pPr>
      <w:bookmarkStart w:id="355" w:name="PreExistingCorrections"/>
      <w:bookmarkStart w:id="356" w:name="_Toc389214881"/>
      <w:bookmarkStart w:id="357" w:name="_Toc396989193"/>
      <w:bookmarkEnd w:id="355"/>
      <w:r w:rsidRPr="00D64309">
        <w:rPr>
          <w:rFonts w:cs="Arial"/>
        </w:rPr>
        <w:t>Pre – “Phase 6” Claims</w:t>
      </w:r>
      <w:bookmarkEnd w:id="356"/>
      <w:bookmarkEnd w:id="357"/>
    </w:p>
    <w:p w:rsidR="00B24D97" w:rsidRPr="00D64309" w:rsidRDefault="00B24D97" w:rsidP="002B0764">
      <w:pPr>
        <w:rPr>
          <w:rFonts w:cs="Arial"/>
        </w:rPr>
      </w:pPr>
      <w:r w:rsidRPr="00D64309">
        <w:rPr>
          <w:rFonts w:cs="Arial"/>
        </w:rPr>
        <w:t>Claims created prior to 8</w:t>
      </w:r>
      <w:r w:rsidRPr="00D64309">
        <w:rPr>
          <w:rFonts w:cs="Arial"/>
          <w:vertAlign w:val="superscript"/>
        </w:rPr>
        <w:t>th</w:t>
      </w:r>
      <w:r w:rsidRPr="00D64309">
        <w:rPr>
          <w:rFonts w:cs="Arial"/>
        </w:rPr>
        <w:t xml:space="preserve"> May 2007 (i.e. during Phase 5 of ECF) continue to experience issues when a correction is required. A broker may be required to create a new CLASS transaction to correct an aspect of a previous transaction, which may include a correction of data that is of no relevance to the broker. It is anticipated that this will be a rare occurrence and due to the fact that the issue only applies to Phase 5 claims, it will disappear in time.</w:t>
      </w:r>
    </w:p>
    <w:p w:rsidR="00B24D97" w:rsidRPr="00D64309" w:rsidRDefault="00B24D97" w:rsidP="002B0764">
      <w:pPr>
        <w:rPr>
          <w:rFonts w:cs="Arial"/>
        </w:rPr>
      </w:pPr>
      <w:r w:rsidRPr="00D64309">
        <w:rPr>
          <w:rFonts w:cs="Arial"/>
        </w:rPr>
        <w:t>The issue arises when a broker is informed of the need to correct the CLASS data on a transaction for a Phase 5 claim, but that correction does NOT require a change to the UCR. If it is NOT the Settlement Amount that requires correcting, XCS may need to cancel and replace the Xchanging Claim Record (if it IS the Settlement Amount that requires correction, brokers should submit a new or replacement transaction as normal). In these circumstances, the following steps should be taken:</w:t>
      </w:r>
    </w:p>
    <w:p w:rsidR="00B24D97" w:rsidRPr="00D64309" w:rsidRDefault="00B24D97" w:rsidP="007953B3">
      <w:pPr>
        <w:numPr>
          <w:ilvl w:val="0"/>
          <w:numId w:val="30"/>
        </w:numPr>
        <w:tabs>
          <w:tab w:val="clear" w:pos="1080"/>
          <w:tab w:val="left" w:pos="567"/>
        </w:tabs>
        <w:spacing w:after="120"/>
        <w:ind w:left="567" w:hanging="567"/>
        <w:rPr>
          <w:rFonts w:cs="Arial"/>
        </w:rPr>
      </w:pPr>
      <w:r w:rsidRPr="00D64309">
        <w:rPr>
          <w:rFonts w:cs="Arial"/>
        </w:rPr>
        <w:t xml:space="preserve">The broker </w:t>
      </w:r>
      <w:r w:rsidRPr="00D64309">
        <w:rPr>
          <w:rFonts w:cs="Arial"/>
          <w:b/>
        </w:rPr>
        <w:t>must</w:t>
      </w:r>
      <w:r w:rsidRPr="00D64309">
        <w:rPr>
          <w:rFonts w:cs="Arial"/>
        </w:rPr>
        <w:t xml:space="preserve"> contact XCS and determine whether XCS need to cancel and replace the XCR. If the XCR does not need to be cancelled and replaced, then brokers should process a new or replacement transaction as normal.</w:t>
      </w:r>
    </w:p>
    <w:p w:rsidR="00B24D97" w:rsidRPr="00D64309" w:rsidRDefault="00B24D97" w:rsidP="007953B3">
      <w:pPr>
        <w:numPr>
          <w:ilvl w:val="0"/>
          <w:numId w:val="30"/>
        </w:numPr>
        <w:tabs>
          <w:tab w:val="left" w:pos="567"/>
        </w:tabs>
        <w:spacing w:after="120"/>
        <w:ind w:left="567" w:hanging="567"/>
        <w:rPr>
          <w:rFonts w:cs="Arial"/>
        </w:rPr>
      </w:pPr>
      <w:r w:rsidRPr="00D64309">
        <w:rPr>
          <w:rFonts w:cs="Arial"/>
        </w:rPr>
        <w:t xml:space="preserve">However if the XCR does need to change, brokers </w:t>
      </w:r>
      <w:r w:rsidRPr="00D64309">
        <w:rPr>
          <w:rFonts w:cs="Arial"/>
          <w:b/>
        </w:rPr>
        <w:t>must</w:t>
      </w:r>
      <w:r w:rsidRPr="00D64309">
        <w:rPr>
          <w:rFonts w:cs="Arial"/>
        </w:rPr>
        <w:t xml:space="preserve"> create a CLASS transaction (on the existing UCR) taking the incurred to zero (including reversal of settlements).</w:t>
      </w:r>
    </w:p>
    <w:p w:rsidR="00B24D97" w:rsidRPr="00D64309" w:rsidRDefault="00B24D97" w:rsidP="007953B3">
      <w:pPr>
        <w:numPr>
          <w:ilvl w:val="0"/>
          <w:numId w:val="30"/>
        </w:numPr>
        <w:tabs>
          <w:tab w:val="left" w:pos="567"/>
        </w:tabs>
        <w:spacing w:after="120"/>
        <w:ind w:left="567" w:hanging="567"/>
        <w:rPr>
          <w:rFonts w:cs="Arial"/>
        </w:rPr>
      </w:pPr>
      <w:r w:rsidRPr="00D64309">
        <w:rPr>
          <w:rFonts w:cs="Arial"/>
        </w:rPr>
        <w:t xml:space="preserve">Brokers </w:t>
      </w:r>
      <w:r w:rsidRPr="00D64309">
        <w:rPr>
          <w:rFonts w:cs="Arial"/>
          <w:b/>
        </w:rPr>
        <w:t>must</w:t>
      </w:r>
      <w:r w:rsidRPr="00D64309">
        <w:rPr>
          <w:rFonts w:cs="Arial"/>
        </w:rPr>
        <w:t xml:space="preserve"> then create a new CLASS transaction (on the existing UCR) with a “paid” this time reflecting the “paid to date” and the current “outstanding”. Brokers </w:t>
      </w:r>
      <w:r w:rsidRPr="00D64309">
        <w:rPr>
          <w:rFonts w:cs="Arial"/>
          <w:b/>
        </w:rPr>
        <w:t>must</w:t>
      </w:r>
      <w:r w:rsidRPr="00D64309">
        <w:rPr>
          <w:rFonts w:cs="Arial"/>
        </w:rPr>
        <w:t xml:space="preserve"> also create an explanatory note and load it to the repository.</w:t>
      </w:r>
    </w:p>
    <w:p w:rsidR="00B24D97" w:rsidRPr="00D64309" w:rsidRDefault="00B24D97" w:rsidP="007953B3">
      <w:pPr>
        <w:numPr>
          <w:ilvl w:val="0"/>
          <w:numId w:val="30"/>
        </w:numPr>
        <w:tabs>
          <w:tab w:val="left" w:pos="567"/>
        </w:tabs>
        <w:spacing w:after="120"/>
        <w:ind w:left="567" w:hanging="567"/>
        <w:rPr>
          <w:rFonts w:cs="Arial"/>
        </w:rPr>
      </w:pPr>
      <w:r w:rsidRPr="00D64309">
        <w:rPr>
          <w:rFonts w:cs="Arial"/>
        </w:rPr>
        <w:t xml:space="preserve">The Lead Agreement Party </w:t>
      </w:r>
      <w:r w:rsidRPr="00D64309">
        <w:rPr>
          <w:rFonts w:cs="Arial"/>
          <w:b/>
        </w:rPr>
        <w:t>must</w:t>
      </w:r>
      <w:r w:rsidRPr="00D64309">
        <w:rPr>
          <w:rFonts w:cs="Arial"/>
        </w:rPr>
        <w:t xml:space="preserve"> wait for both transactions to become available and should review these in conjunction with the explanatory note. Both transactions </w:t>
      </w:r>
      <w:r w:rsidRPr="00D64309">
        <w:rPr>
          <w:rFonts w:cs="Arial"/>
          <w:b/>
        </w:rPr>
        <w:t>must</w:t>
      </w:r>
      <w:r w:rsidRPr="00D64309">
        <w:rPr>
          <w:rFonts w:cs="Arial"/>
        </w:rPr>
        <w:t xml:space="preserve"> be responded to at the same time and the same response entered on each.</w:t>
      </w:r>
    </w:p>
    <w:p w:rsidR="00B24D97" w:rsidRPr="00D64309" w:rsidRDefault="00B24D97" w:rsidP="007953B3">
      <w:pPr>
        <w:numPr>
          <w:ilvl w:val="0"/>
          <w:numId w:val="30"/>
        </w:numPr>
        <w:tabs>
          <w:tab w:val="left" w:pos="567"/>
        </w:tabs>
        <w:spacing w:after="120"/>
        <w:ind w:left="567" w:hanging="567"/>
        <w:rPr>
          <w:rFonts w:cs="Arial"/>
        </w:rPr>
      </w:pPr>
      <w:r w:rsidRPr="00D64309">
        <w:rPr>
          <w:rFonts w:cs="Arial"/>
        </w:rPr>
        <w:t>Subsequent Agreement Parties should repeat (4) above.</w:t>
      </w:r>
    </w:p>
    <w:p w:rsidR="00B24D97" w:rsidRPr="00D64309" w:rsidRDefault="00B24D97" w:rsidP="007953B3">
      <w:pPr>
        <w:numPr>
          <w:ilvl w:val="0"/>
          <w:numId w:val="30"/>
        </w:numPr>
        <w:tabs>
          <w:tab w:val="left" w:pos="567"/>
        </w:tabs>
        <w:spacing w:after="120"/>
        <w:ind w:left="567" w:hanging="567"/>
        <w:rPr>
          <w:rFonts w:cs="Arial"/>
        </w:rPr>
      </w:pPr>
      <w:r w:rsidRPr="00D64309">
        <w:rPr>
          <w:rFonts w:cs="Arial"/>
        </w:rPr>
        <w:t>XCS will then process the closing transaction and necessary breakdowns, establish a new decoupled XCR and respond to the replacement transactions all within the same accounting day.</w:t>
      </w:r>
    </w:p>
    <w:p w:rsidR="00B24D97" w:rsidRPr="00D64309" w:rsidRDefault="00B24D97" w:rsidP="009B13FA">
      <w:pPr>
        <w:pStyle w:val="Heading2"/>
        <w:rPr>
          <w:rFonts w:cs="Arial"/>
        </w:rPr>
      </w:pPr>
      <w:bookmarkStart w:id="358" w:name="_Toc161559657"/>
      <w:bookmarkStart w:id="359" w:name="_Toc162669971"/>
      <w:bookmarkStart w:id="360" w:name="_Toc134427315"/>
      <w:bookmarkStart w:id="361" w:name="_Toc142277088"/>
      <w:bookmarkStart w:id="362" w:name="_Toc389214882"/>
      <w:bookmarkStart w:id="363" w:name="_Toc396989194"/>
      <w:bookmarkEnd w:id="358"/>
      <w:bookmarkEnd w:id="359"/>
      <w:r w:rsidRPr="00D64309">
        <w:rPr>
          <w:rFonts w:cs="Arial"/>
        </w:rPr>
        <w:t>Loss Funds</w:t>
      </w:r>
      <w:bookmarkEnd w:id="360"/>
      <w:bookmarkEnd w:id="361"/>
      <w:bookmarkEnd w:id="362"/>
      <w:bookmarkEnd w:id="363"/>
    </w:p>
    <w:p w:rsidR="00B24D97" w:rsidRPr="00D64309" w:rsidRDefault="00B24D97" w:rsidP="008B3F56">
      <w:pPr>
        <w:rPr>
          <w:rFonts w:cs="Arial"/>
        </w:rPr>
      </w:pPr>
      <w:r w:rsidRPr="00D64309">
        <w:rPr>
          <w:rFonts w:cs="Arial"/>
        </w:rPr>
        <w:t>When a Loss Fund arises the parties involved will agree how to handle that Loss Fund.</w:t>
      </w:r>
    </w:p>
    <w:p w:rsidR="00B24D97" w:rsidRPr="00D64309" w:rsidRDefault="00B24D97" w:rsidP="009B13FA">
      <w:pPr>
        <w:pStyle w:val="Heading2"/>
        <w:rPr>
          <w:rFonts w:cs="Arial"/>
        </w:rPr>
      </w:pPr>
      <w:bookmarkStart w:id="364" w:name="BrokerTransfer"/>
      <w:bookmarkStart w:id="365" w:name="ConfidentialReports"/>
      <w:bookmarkStart w:id="366" w:name="_Toc143322090"/>
      <w:bookmarkStart w:id="367" w:name="DirectSettlement"/>
      <w:bookmarkStart w:id="368" w:name="_Toc161559666"/>
      <w:bookmarkStart w:id="369" w:name="_Toc162669980"/>
      <w:bookmarkStart w:id="370" w:name="ExpertFees"/>
      <w:bookmarkStart w:id="371" w:name="_Toc247702073"/>
      <w:bookmarkStart w:id="372" w:name="Aggregates"/>
      <w:bookmarkStart w:id="373" w:name="_Toc389214883"/>
      <w:bookmarkStart w:id="374" w:name="_Toc396989195"/>
      <w:bookmarkStart w:id="375" w:name="_Toc134427322"/>
      <w:bookmarkStart w:id="376" w:name="_Toc142277098"/>
      <w:bookmarkEnd w:id="364"/>
      <w:bookmarkEnd w:id="365"/>
      <w:bookmarkEnd w:id="366"/>
      <w:bookmarkEnd w:id="367"/>
      <w:bookmarkEnd w:id="368"/>
      <w:bookmarkEnd w:id="369"/>
      <w:bookmarkEnd w:id="370"/>
      <w:bookmarkEnd w:id="371"/>
      <w:bookmarkEnd w:id="372"/>
      <w:r w:rsidRPr="00D64309">
        <w:rPr>
          <w:rFonts w:cs="Arial"/>
        </w:rPr>
        <w:t>Direct Settlement of Indemnity</w:t>
      </w:r>
      <w:bookmarkEnd w:id="373"/>
      <w:bookmarkEnd w:id="374"/>
    </w:p>
    <w:p w:rsidR="00B24D97" w:rsidRPr="00D64309" w:rsidRDefault="00B24D97" w:rsidP="00423FAD">
      <w:pPr>
        <w:rPr>
          <w:rFonts w:cs="Arial"/>
        </w:rPr>
      </w:pPr>
      <w:r w:rsidRPr="00D64309">
        <w:rPr>
          <w:rFonts w:cs="Arial"/>
        </w:rPr>
        <w:t xml:space="preserve">Direct settlement of indemnity may also follow the processes detailed above. </w:t>
      </w:r>
    </w:p>
    <w:p w:rsidR="00B24D97" w:rsidRPr="00D64309" w:rsidRDefault="00B24D97" w:rsidP="009B13FA">
      <w:pPr>
        <w:pStyle w:val="Heading2"/>
        <w:rPr>
          <w:rFonts w:cs="Arial"/>
        </w:rPr>
      </w:pPr>
      <w:bookmarkStart w:id="377" w:name="_Aggregates"/>
      <w:bookmarkStart w:id="378" w:name="_Toc389214884"/>
      <w:bookmarkStart w:id="379" w:name="_Toc396989196"/>
      <w:bookmarkEnd w:id="377"/>
      <w:r w:rsidRPr="00D64309">
        <w:rPr>
          <w:rFonts w:cs="Arial"/>
        </w:rPr>
        <w:t>Aggregates</w:t>
      </w:r>
      <w:bookmarkEnd w:id="375"/>
      <w:bookmarkEnd w:id="376"/>
      <w:bookmarkEnd w:id="378"/>
      <w:bookmarkEnd w:id="379"/>
    </w:p>
    <w:p w:rsidR="00B24D97" w:rsidRPr="00D64309" w:rsidRDefault="00B24D97" w:rsidP="00593676">
      <w:pPr>
        <w:rPr>
          <w:rFonts w:cs="Arial"/>
        </w:rPr>
      </w:pPr>
      <w:bookmarkStart w:id="380" w:name="OLE_LINK1"/>
      <w:r w:rsidRPr="00D64309">
        <w:rPr>
          <w:rFonts w:cs="Arial"/>
        </w:rPr>
        <w:t xml:space="preserve">The term ‘aggregate’ is used from time to time to describe a limit of indemnity and/or excess or deductible provided in a policy of (re)insurance that are to be applied literally and irrespective of the underlying number &amp; value of individual losses (which may in turn be subject of their own individual per loss excess and limit) included for reserving &amp;/or settlement under the cover. This description and </w:t>
      </w:r>
      <w:r w:rsidRPr="00D64309">
        <w:rPr>
          <w:rFonts w:cs="Arial"/>
        </w:rPr>
        <w:lastRenderedPageBreak/>
        <w:t>the following examples are included for illustrative purposes in the transition of systems and are not meant to be exhaustive, preclusive of other uses of the term, or otherwise determining rights or meaning:</w:t>
      </w:r>
    </w:p>
    <w:p w:rsidR="00B24D97" w:rsidRPr="00D64309" w:rsidRDefault="00B24D97" w:rsidP="00593676">
      <w:pPr>
        <w:rPr>
          <w:rFonts w:cs="Arial"/>
        </w:rPr>
      </w:pPr>
      <w:r w:rsidRPr="00D64309">
        <w:rPr>
          <w:rFonts w:cs="Arial"/>
        </w:rPr>
        <w:t xml:space="preserve">To determine the point at which an aggregate </w:t>
      </w:r>
      <w:r w:rsidRPr="00D64309">
        <w:rPr>
          <w:rFonts w:cs="Arial"/>
          <w:b/>
        </w:rPr>
        <w:t>deductible or excess</w:t>
      </w:r>
      <w:r w:rsidRPr="00D64309">
        <w:rPr>
          <w:rFonts w:cs="Arial"/>
        </w:rPr>
        <w:t xml:space="preserve"> is eroded and/or when the </w:t>
      </w:r>
      <w:r w:rsidRPr="00D64309">
        <w:rPr>
          <w:rFonts w:cs="Arial"/>
          <w:b/>
        </w:rPr>
        <w:t>limit of indemnity</w:t>
      </w:r>
      <w:r w:rsidRPr="00D64309">
        <w:rPr>
          <w:rFonts w:cs="Arial"/>
        </w:rPr>
        <w:t xml:space="preserve"> is exhausted, the underlying losses often are presented using an aggregate summary schedule</w:t>
      </w:r>
      <w:r w:rsidR="00893EB3">
        <w:rPr>
          <w:rFonts w:cs="Arial"/>
        </w:rPr>
        <w:t xml:space="preserve">. </w:t>
      </w:r>
      <w:r w:rsidRPr="00D64309">
        <w:rPr>
          <w:rFonts w:cs="Arial"/>
        </w:rPr>
        <w:t>This enables the various losses to be gathered together and presented in a standard format for ease of reference. The amount to be reserved or settled under the ‘aggregate’ policy can then be easily calculated for (re)insurers taking account of the circumstances and any specific policy rules such as marshalling of losses in date of loss or date of settlement order.</w:t>
      </w:r>
    </w:p>
    <w:p w:rsidR="00B24D97" w:rsidRPr="00D64309" w:rsidRDefault="00B24D97" w:rsidP="00593676">
      <w:pPr>
        <w:rPr>
          <w:rFonts w:cs="Arial"/>
        </w:rPr>
      </w:pPr>
      <w:r w:rsidRPr="00D64309">
        <w:rPr>
          <w:rFonts w:cs="Arial"/>
        </w:rPr>
        <w:t>Under ECF there is no need to change this mode of operation. The standard ECF process should be followed with the implications of the following carefully considered:</w:t>
      </w:r>
      <w:bookmarkEnd w:id="380"/>
    </w:p>
    <w:p w:rsidR="00B24D97" w:rsidRPr="00680814" w:rsidRDefault="00D01C38" w:rsidP="009B13FA">
      <w:pPr>
        <w:pStyle w:val="Heading3"/>
        <w:rPr>
          <w:rFonts w:cs="Arial"/>
        </w:rPr>
      </w:pPr>
      <w:bookmarkStart w:id="381" w:name="_Toc389214885"/>
      <w:bookmarkStart w:id="382" w:name="_Toc396989197"/>
      <w:bookmarkStart w:id="383" w:name="_Toc142277099"/>
      <w:r w:rsidRPr="00680814">
        <w:rPr>
          <w:rFonts w:cs="Arial"/>
        </w:rPr>
        <w:t>Aggregates</w:t>
      </w:r>
      <w:bookmarkEnd w:id="381"/>
      <w:bookmarkEnd w:id="382"/>
      <w:r w:rsidRPr="00680814">
        <w:rPr>
          <w:rFonts w:cs="Arial"/>
        </w:rPr>
        <w:t xml:space="preserve"> </w:t>
      </w:r>
      <w:bookmarkEnd w:id="383"/>
    </w:p>
    <w:p w:rsidR="00B24D97" w:rsidRPr="00D64309" w:rsidRDefault="00B24D97" w:rsidP="00976EF3">
      <w:pPr>
        <w:rPr>
          <w:rFonts w:cs="Arial"/>
        </w:rPr>
      </w:pPr>
      <w:r w:rsidRPr="00D64309">
        <w:rPr>
          <w:rFonts w:cs="Arial"/>
        </w:rPr>
        <w:t xml:space="preserve">Before any claims are presented by the broker, it </w:t>
      </w:r>
      <w:r w:rsidRPr="00D64309">
        <w:rPr>
          <w:rFonts w:cs="Arial"/>
          <w:b/>
        </w:rPr>
        <w:t>must</w:t>
      </w:r>
      <w:r w:rsidRPr="00D64309">
        <w:rPr>
          <w:rFonts w:cs="Arial"/>
        </w:rPr>
        <w:t xml:space="preserve"> be agreed between the broker and all Agreement Parties how to handle the claims:</w:t>
      </w:r>
    </w:p>
    <w:p w:rsidR="00B24D97" w:rsidRPr="00D64309" w:rsidRDefault="00B24D97" w:rsidP="007953B3">
      <w:pPr>
        <w:numPr>
          <w:ilvl w:val="0"/>
          <w:numId w:val="31"/>
        </w:numPr>
        <w:tabs>
          <w:tab w:val="clear" w:pos="1080"/>
          <w:tab w:val="num" w:pos="-4253"/>
          <w:tab w:val="left" w:pos="567"/>
        </w:tabs>
        <w:spacing w:after="120"/>
        <w:ind w:left="567" w:hanging="567"/>
        <w:rPr>
          <w:rFonts w:cs="Arial"/>
        </w:rPr>
      </w:pPr>
      <w:r w:rsidRPr="00D64309">
        <w:rPr>
          <w:rFonts w:cs="Arial"/>
        </w:rPr>
        <w:t>When there is only one claim and it is possible that there will be no other claims, the claim can be presented as an individual under one block file. This can then be reassessed if further claims arise.</w:t>
      </w:r>
    </w:p>
    <w:p w:rsidR="00B24D97" w:rsidRPr="00D64309" w:rsidRDefault="00B24D97" w:rsidP="007953B3">
      <w:pPr>
        <w:numPr>
          <w:ilvl w:val="0"/>
          <w:numId w:val="31"/>
        </w:numPr>
        <w:tabs>
          <w:tab w:val="clear" w:pos="1080"/>
          <w:tab w:val="num" w:pos="-4253"/>
          <w:tab w:val="left" w:pos="567"/>
        </w:tabs>
        <w:spacing w:after="120"/>
        <w:ind w:left="567" w:hanging="567"/>
        <w:rPr>
          <w:rFonts w:cs="Arial"/>
        </w:rPr>
      </w:pPr>
      <w:r w:rsidRPr="00D64309">
        <w:rPr>
          <w:rFonts w:cs="Arial"/>
        </w:rPr>
        <w:t>Alternatively it may be more appropriate for brokers to present one Aggregate file supported by a number of individual claims files. See section below for further details.</w:t>
      </w:r>
    </w:p>
    <w:p w:rsidR="00B24D97" w:rsidRPr="00D64309" w:rsidRDefault="00B24D97" w:rsidP="00083473">
      <w:pPr>
        <w:rPr>
          <w:rFonts w:cs="Arial"/>
          <w:b/>
        </w:rPr>
      </w:pPr>
      <w:r w:rsidRPr="00D64309">
        <w:rPr>
          <w:rFonts w:cs="Arial"/>
          <w:b/>
        </w:rPr>
        <w:t>Note that in either case, the provision of an up to date Aggregate Summary Schedule by brokers is mandatory.</w:t>
      </w:r>
    </w:p>
    <w:p w:rsidR="00B24D97" w:rsidRPr="00D64309" w:rsidRDefault="00B24D97" w:rsidP="00083473">
      <w:pPr>
        <w:rPr>
          <w:rFonts w:cs="Arial"/>
        </w:rPr>
      </w:pPr>
      <w:r w:rsidRPr="00D64309">
        <w:rPr>
          <w:rFonts w:cs="Arial"/>
        </w:rPr>
        <w:t xml:space="preserve">In all cases, brokers </w:t>
      </w:r>
      <w:r w:rsidRPr="00D64309">
        <w:rPr>
          <w:rFonts w:cs="Arial"/>
          <w:b/>
        </w:rPr>
        <w:t>must not</w:t>
      </w:r>
      <w:r w:rsidRPr="00D64309">
        <w:rPr>
          <w:rFonts w:cs="Arial"/>
        </w:rPr>
        <w:t xml:space="preserve"> enter a future date of loss in the CLASS transaction. Where appropriate, brokers should enter the inception date in the “from” field and leave the “to” field blank.</w:t>
      </w:r>
    </w:p>
    <w:p w:rsidR="00B24D97" w:rsidRPr="00D64309" w:rsidRDefault="00B24D97" w:rsidP="009B13FA">
      <w:pPr>
        <w:pStyle w:val="Heading3"/>
        <w:rPr>
          <w:rFonts w:cs="Arial"/>
        </w:rPr>
      </w:pPr>
      <w:bookmarkStart w:id="384" w:name="AggregatesSplitting"/>
      <w:bookmarkStart w:id="385" w:name="_Toc142277100"/>
      <w:bookmarkStart w:id="386" w:name="_Toc389214886"/>
      <w:bookmarkStart w:id="387" w:name="_Toc396989198"/>
      <w:bookmarkEnd w:id="384"/>
      <w:r w:rsidRPr="00D64309">
        <w:rPr>
          <w:rFonts w:cs="Arial"/>
        </w:rPr>
        <w:t>Splitting of Losses</w:t>
      </w:r>
      <w:bookmarkEnd w:id="385"/>
      <w:bookmarkEnd w:id="386"/>
      <w:bookmarkEnd w:id="387"/>
    </w:p>
    <w:p w:rsidR="00B24D97" w:rsidRPr="00D64309" w:rsidRDefault="00B24D97" w:rsidP="00212020">
      <w:pPr>
        <w:rPr>
          <w:rFonts w:cs="Arial"/>
        </w:rPr>
      </w:pPr>
      <w:r w:rsidRPr="00D64309">
        <w:rPr>
          <w:rFonts w:cs="Arial"/>
        </w:rPr>
        <w:t>It is critical that all parties – Lead Agreement Party, XCS and broker - agree any movement of losses between the block claim and an individual entry.</w:t>
      </w:r>
    </w:p>
    <w:p w:rsidR="00B24D97" w:rsidRPr="00D64309" w:rsidRDefault="00B24D97" w:rsidP="007953B3">
      <w:pPr>
        <w:numPr>
          <w:ilvl w:val="0"/>
          <w:numId w:val="32"/>
        </w:numPr>
        <w:tabs>
          <w:tab w:val="clear" w:pos="720"/>
          <w:tab w:val="left" w:pos="567"/>
        </w:tabs>
        <w:ind w:left="567" w:hanging="567"/>
        <w:rPr>
          <w:rFonts w:cs="Arial"/>
        </w:rPr>
      </w:pPr>
      <w:r w:rsidRPr="00D64309">
        <w:rPr>
          <w:rFonts w:cs="Arial"/>
        </w:rPr>
        <w:t xml:space="preserve">Brokers </w:t>
      </w:r>
      <w:r w:rsidRPr="00D64309">
        <w:rPr>
          <w:rFonts w:cs="Arial"/>
          <w:b/>
        </w:rPr>
        <w:t>must</w:t>
      </w:r>
      <w:r w:rsidRPr="00D64309">
        <w:rPr>
          <w:rFonts w:cs="Arial"/>
        </w:rPr>
        <w:t xml:space="preserve"> first create an aggregate UCR to establish the outstanding and attach a copy of the up to date Aggregate Summary Schedule to the IMR and the relevant TR.</w:t>
      </w:r>
    </w:p>
    <w:p w:rsidR="00B24D97" w:rsidRPr="00D64309" w:rsidRDefault="00B24D97" w:rsidP="007953B3">
      <w:pPr>
        <w:numPr>
          <w:ilvl w:val="0"/>
          <w:numId w:val="32"/>
        </w:numPr>
        <w:tabs>
          <w:tab w:val="clear" w:pos="720"/>
          <w:tab w:val="left" w:pos="567"/>
        </w:tabs>
        <w:ind w:left="567" w:hanging="567"/>
        <w:rPr>
          <w:rFonts w:cs="Arial"/>
        </w:rPr>
      </w:pPr>
      <w:r w:rsidRPr="00D64309">
        <w:rPr>
          <w:rFonts w:cs="Arial"/>
        </w:rPr>
        <w:t>Brokers can then create individual UCRs for each claim, ensuring that the incurred is set to zero on each and attaching relevant documents to the IMR and TRs as appropriate.</w:t>
      </w:r>
    </w:p>
    <w:p w:rsidR="00B24D97" w:rsidRPr="00D64309" w:rsidRDefault="00B24D97" w:rsidP="007953B3">
      <w:pPr>
        <w:numPr>
          <w:ilvl w:val="0"/>
          <w:numId w:val="32"/>
        </w:numPr>
        <w:tabs>
          <w:tab w:val="clear" w:pos="720"/>
          <w:tab w:val="left" w:pos="567"/>
        </w:tabs>
        <w:ind w:left="567" w:hanging="567"/>
        <w:rPr>
          <w:rFonts w:cs="Arial"/>
        </w:rPr>
      </w:pPr>
      <w:r w:rsidRPr="00D64309">
        <w:rPr>
          <w:rFonts w:cs="Arial"/>
        </w:rPr>
        <w:t xml:space="preserve">Agreement Parties should refer to the UMR view, which lists all claims under that UMR, to ensure that they are aware of all claims that require their review. Lead Agreement Parties may enter alternative reserves on the </w:t>
      </w:r>
      <w:r w:rsidRPr="00D64309">
        <w:rPr>
          <w:rFonts w:cs="Arial"/>
          <w:b/>
        </w:rPr>
        <w:t>Aggregate UCR</w:t>
      </w:r>
      <w:r w:rsidRPr="00D64309">
        <w:rPr>
          <w:rFonts w:cs="Arial"/>
        </w:rPr>
        <w:t xml:space="preserve"> if they wish to do so. Agreement Parties should enter a response for each UCR. Note that if Agreement Parties wish to Query/Return the Aggregate UCR, it may be necessary to enter a Query/Return response to all UCRs.</w:t>
      </w:r>
    </w:p>
    <w:p w:rsidR="00B24D97" w:rsidRPr="00D64309" w:rsidRDefault="00B24D97" w:rsidP="007953B3">
      <w:pPr>
        <w:numPr>
          <w:ilvl w:val="0"/>
          <w:numId w:val="32"/>
        </w:numPr>
        <w:tabs>
          <w:tab w:val="clear" w:pos="720"/>
          <w:tab w:val="left" w:pos="567"/>
        </w:tabs>
        <w:ind w:left="567" w:hanging="567"/>
        <w:rPr>
          <w:rFonts w:cs="Arial"/>
        </w:rPr>
      </w:pPr>
      <w:r w:rsidRPr="00D64309">
        <w:rPr>
          <w:rFonts w:cs="Arial"/>
        </w:rPr>
        <w:t>Once all previous Agreement Parties have responded to all of the UCRs, XCS will create an XCR cross-referring to the Aggregate UCR. The XCR will generate the necessary SCM.</w:t>
      </w:r>
    </w:p>
    <w:p w:rsidR="00B24D97" w:rsidRPr="00D64309" w:rsidRDefault="00B24D97" w:rsidP="007953B3">
      <w:pPr>
        <w:numPr>
          <w:ilvl w:val="0"/>
          <w:numId w:val="32"/>
        </w:numPr>
        <w:tabs>
          <w:tab w:val="clear" w:pos="720"/>
          <w:tab w:val="left" w:pos="567"/>
        </w:tabs>
        <w:ind w:left="567" w:hanging="567"/>
        <w:rPr>
          <w:rFonts w:cs="Arial"/>
        </w:rPr>
      </w:pPr>
      <w:r w:rsidRPr="00D64309">
        <w:rPr>
          <w:rFonts w:cs="Arial"/>
        </w:rPr>
        <w:t>XCS will then signify their response to all of the individual UCRs. No additional SCMs will be generated.</w:t>
      </w:r>
    </w:p>
    <w:p w:rsidR="00B24D97" w:rsidRPr="00680814" w:rsidRDefault="00B24D97" w:rsidP="009B13FA">
      <w:pPr>
        <w:pStyle w:val="Heading3"/>
        <w:rPr>
          <w:rFonts w:cs="Arial"/>
        </w:rPr>
      </w:pPr>
      <w:r w:rsidRPr="00D64309">
        <w:rPr>
          <w:rFonts w:cs="Arial"/>
        </w:rPr>
        <w:br w:type="page"/>
      </w:r>
      <w:bookmarkStart w:id="388" w:name="AggregatesSpreadsheetExample"/>
      <w:bookmarkStart w:id="389" w:name="NonCashSettlements"/>
      <w:bookmarkStart w:id="390" w:name="_Toc134427323"/>
      <w:bookmarkStart w:id="391" w:name="_Toc142277101"/>
      <w:bookmarkStart w:id="392" w:name="_Toc389214887"/>
      <w:bookmarkStart w:id="393" w:name="_Toc396989199"/>
      <w:bookmarkEnd w:id="388"/>
      <w:bookmarkEnd w:id="389"/>
      <w:r w:rsidRPr="00680814">
        <w:rPr>
          <w:rFonts w:cs="Arial"/>
        </w:rPr>
        <w:lastRenderedPageBreak/>
        <w:t>Non Cash Settlements</w:t>
      </w:r>
      <w:bookmarkEnd w:id="390"/>
      <w:bookmarkEnd w:id="391"/>
      <w:bookmarkEnd w:id="392"/>
      <w:bookmarkEnd w:id="393"/>
    </w:p>
    <w:p w:rsidR="00B24D97" w:rsidRPr="00D64309" w:rsidRDefault="00B24D97" w:rsidP="000B2D84">
      <w:pPr>
        <w:rPr>
          <w:rFonts w:cs="Arial"/>
        </w:rPr>
      </w:pPr>
      <w:r w:rsidRPr="00D64309">
        <w:rPr>
          <w:rFonts w:cs="Arial"/>
        </w:rPr>
        <w:t>Non-cash settlements can be handled through ECF. All financial amounts should be shown in the relevant fields in ECF and the broker must clearly state in the broker narrative that the transaction is in respect of a ‘</w:t>
      </w:r>
      <w:r w:rsidR="00FE0621">
        <w:rPr>
          <w:rFonts w:cs="Arial"/>
        </w:rPr>
        <w:t xml:space="preserve">NON-CASH SETTLEMENT’. The leads agreement to this TR is the approval required by XCS which enables </w:t>
      </w:r>
      <w:r w:rsidRPr="00D64309">
        <w:rPr>
          <w:rFonts w:cs="Arial"/>
        </w:rPr>
        <w:t>the relevant flag on the XCS CLASS system</w:t>
      </w:r>
      <w:r w:rsidR="00FE0621">
        <w:rPr>
          <w:rFonts w:cs="Arial"/>
        </w:rPr>
        <w:t xml:space="preserve"> to be set,</w:t>
      </w:r>
      <w:r w:rsidRPr="00D64309">
        <w:rPr>
          <w:rFonts w:cs="Arial"/>
        </w:rPr>
        <w:t xml:space="preserve"> to ensure that the transaction is not passed on for central settlement.</w:t>
      </w:r>
    </w:p>
    <w:p w:rsidR="00B24D97" w:rsidRPr="00D64309" w:rsidRDefault="00B24D97" w:rsidP="000B2D84">
      <w:pPr>
        <w:rPr>
          <w:rFonts w:cs="Arial"/>
        </w:rPr>
      </w:pPr>
      <w:r w:rsidRPr="00D64309">
        <w:rPr>
          <w:rFonts w:cs="Arial"/>
        </w:rPr>
        <w:t>NB Non-cash settlements resulting in split-market scenarios (eg commutations) remain out-of-scope on ECF.</w:t>
      </w:r>
    </w:p>
    <w:p w:rsidR="00B24D97" w:rsidRPr="00284AEA" w:rsidRDefault="00B24D97" w:rsidP="009B13FA">
      <w:pPr>
        <w:pStyle w:val="Heading2"/>
        <w:rPr>
          <w:rFonts w:cs="Arial"/>
        </w:rPr>
      </w:pPr>
      <w:bookmarkStart w:id="394" w:name="PartialMarkets"/>
      <w:bookmarkStart w:id="395" w:name="_Partial_Markets"/>
      <w:bookmarkStart w:id="396" w:name="_Toc134427326"/>
      <w:bookmarkStart w:id="397" w:name="_Toc142277104"/>
      <w:bookmarkStart w:id="398" w:name="_Toc389214888"/>
      <w:bookmarkStart w:id="399" w:name="_Toc396989200"/>
      <w:bookmarkEnd w:id="394"/>
      <w:bookmarkEnd w:id="395"/>
      <w:r w:rsidRPr="00284AEA">
        <w:rPr>
          <w:rFonts w:cs="Arial"/>
        </w:rPr>
        <w:t>Partial Markets</w:t>
      </w:r>
      <w:bookmarkEnd w:id="396"/>
      <w:bookmarkEnd w:id="397"/>
      <w:bookmarkEnd w:id="398"/>
      <w:bookmarkEnd w:id="399"/>
      <w:r w:rsidR="00D01C38" w:rsidRPr="00284AEA">
        <w:rPr>
          <w:rFonts w:cs="Arial"/>
        </w:rPr>
        <w:t xml:space="preserve"> </w:t>
      </w:r>
    </w:p>
    <w:p w:rsidR="00B24D97" w:rsidRPr="00284AEA" w:rsidRDefault="00B24D97" w:rsidP="005A2087">
      <w:pPr>
        <w:rPr>
          <w:rFonts w:cs="Arial"/>
        </w:rPr>
      </w:pPr>
      <w:r w:rsidRPr="00284AEA">
        <w:rPr>
          <w:rFonts w:cs="Arial"/>
        </w:rPr>
        <w:t>ECF is not able to cater for claims in which the market varies from that associated with the OSND; or where a subset of the subscribing market require the claim to be handled differently to the rest of the market. In these circumstances the file must revert to paper as per the process</w:t>
      </w:r>
      <w:r w:rsidR="008215F0">
        <w:rPr>
          <w:rFonts w:cs="Arial"/>
        </w:rPr>
        <w:t xml:space="preserve">. </w:t>
      </w:r>
      <w:r w:rsidRPr="00284AEA">
        <w:rPr>
          <w:rFonts w:cs="Arial"/>
        </w:rPr>
        <w:t>Examples of this situation include:</w:t>
      </w:r>
    </w:p>
    <w:p w:rsidR="00B24D97" w:rsidRPr="00284AEA" w:rsidRDefault="00B24D97" w:rsidP="00CB6F62">
      <w:pPr>
        <w:pStyle w:val="Bullets"/>
        <w:rPr>
          <w:rFonts w:cs="Arial"/>
        </w:rPr>
      </w:pPr>
      <w:r w:rsidRPr="00284AEA">
        <w:rPr>
          <w:rFonts w:cs="Arial"/>
        </w:rPr>
        <w:t>One or More Syndicates Taking Different Action to the Remainder</w:t>
      </w:r>
    </w:p>
    <w:p w:rsidR="00B24D97" w:rsidRPr="00284AEA" w:rsidRDefault="00B24D97" w:rsidP="00CB6F62">
      <w:pPr>
        <w:pStyle w:val="Bullets"/>
        <w:rPr>
          <w:rFonts w:cs="Arial"/>
        </w:rPr>
      </w:pPr>
      <w:r w:rsidRPr="00284AEA">
        <w:rPr>
          <w:rFonts w:cs="Arial"/>
        </w:rPr>
        <w:t>Commutation of the claim</w:t>
      </w:r>
    </w:p>
    <w:p w:rsidR="00B24D97" w:rsidRPr="00284AEA" w:rsidRDefault="00B24D97" w:rsidP="00CB6F62">
      <w:pPr>
        <w:pStyle w:val="Bullets"/>
        <w:rPr>
          <w:rFonts w:cs="Arial"/>
        </w:rPr>
      </w:pPr>
      <w:r w:rsidRPr="00284AEA">
        <w:rPr>
          <w:rFonts w:cs="Arial"/>
        </w:rPr>
        <w:t>Syndicate Opt Out</w:t>
      </w:r>
    </w:p>
    <w:p w:rsidR="00B24D97" w:rsidRPr="00284AEA" w:rsidRDefault="00B24D97" w:rsidP="00CB6F62">
      <w:pPr>
        <w:pStyle w:val="Bullets"/>
        <w:rPr>
          <w:rFonts w:cs="Arial"/>
        </w:rPr>
      </w:pPr>
      <w:r w:rsidRPr="00284AEA">
        <w:rPr>
          <w:rFonts w:cs="Arial"/>
        </w:rPr>
        <w:t>Disagreement about action to be taken</w:t>
      </w:r>
    </w:p>
    <w:p w:rsidR="00B24D97" w:rsidRPr="00284AEA" w:rsidRDefault="00B24D97" w:rsidP="00CB6F62">
      <w:pPr>
        <w:pStyle w:val="Bullets"/>
        <w:spacing w:after="120"/>
        <w:rPr>
          <w:rFonts w:cs="Arial"/>
        </w:rPr>
      </w:pPr>
      <w:r w:rsidRPr="00284AEA">
        <w:rPr>
          <w:rFonts w:cs="Arial"/>
        </w:rPr>
        <w:t>Part of the market granting a letter of credit whilst others do not.</w:t>
      </w:r>
    </w:p>
    <w:p w:rsidR="00680814" w:rsidRPr="00A37229" w:rsidRDefault="00A37229" w:rsidP="009B13FA">
      <w:pPr>
        <w:pStyle w:val="Heading3"/>
        <w:rPr>
          <w:rFonts w:cs="Arial"/>
        </w:rPr>
      </w:pPr>
      <w:bookmarkStart w:id="400" w:name="LeadersReserves"/>
      <w:bookmarkStart w:id="401" w:name="_Toc389214889"/>
      <w:bookmarkStart w:id="402" w:name="_Toc396989201"/>
      <w:bookmarkEnd w:id="400"/>
      <w:r w:rsidRPr="00A37229">
        <w:rPr>
          <w:rFonts w:cs="Arial"/>
        </w:rPr>
        <w:t xml:space="preserve">Coupled Claims - </w:t>
      </w:r>
      <w:r w:rsidR="00B24D97" w:rsidRPr="00A37229">
        <w:rPr>
          <w:rFonts w:cs="Arial"/>
        </w:rPr>
        <w:t xml:space="preserve">Lead Agreement Party Reserves </w:t>
      </w:r>
      <w:r>
        <w:rPr>
          <w:rFonts w:cs="Arial"/>
        </w:rPr>
        <w:t>(</w:t>
      </w:r>
      <w:r w:rsidR="00B24D97" w:rsidRPr="00A37229">
        <w:rPr>
          <w:rFonts w:cs="Arial"/>
        </w:rPr>
        <w:t>Claims Created Prior to May 2007</w:t>
      </w:r>
      <w:r>
        <w:rPr>
          <w:rFonts w:cs="Arial"/>
        </w:rPr>
        <w:t>)</w:t>
      </w:r>
      <w:bookmarkEnd w:id="401"/>
      <w:bookmarkEnd w:id="402"/>
    </w:p>
    <w:p w:rsidR="00B24D97" w:rsidRPr="00A37229" w:rsidRDefault="00B24D97" w:rsidP="003D3E37">
      <w:pPr>
        <w:rPr>
          <w:rFonts w:cs="Arial"/>
        </w:rPr>
      </w:pPr>
      <w:r w:rsidRPr="00A37229">
        <w:rPr>
          <w:rFonts w:cs="Arial"/>
        </w:rPr>
        <w:t>The functionality for Lead Agreement Parties to enter alternative reserves to those advised by the broker, for advising in the SCM, does not apply to claims that were created prior to ECF Phase 6a (8</w:t>
      </w:r>
      <w:r w:rsidRPr="00A37229">
        <w:rPr>
          <w:rFonts w:cs="Arial"/>
          <w:vertAlign w:val="superscript"/>
        </w:rPr>
        <w:t>th</w:t>
      </w:r>
      <w:r w:rsidRPr="00A37229">
        <w:rPr>
          <w:rFonts w:cs="Arial"/>
        </w:rPr>
        <w:t xml:space="preserve"> May 2007, i.e. during Phase 5 of ECF). For these claims, Lead Agreement Parties are able to record the alternative reserve, but they cannot be advised in the SCM. In such circumstances, the previous Phase 5 functionality still applies. The following table shows scenarios in which Lead Agreement Parties may wish to enter a reserve and the applicable Phase 5 functionality:</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1059"/>
        <w:gridCol w:w="2231"/>
        <w:gridCol w:w="1744"/>
        <w:gridCol w:w="992"/>
        <w:gridCol w:w="2758"/>
      </w:tblGrid>
      <w:tr w:rsidR="00B24D97" w:rsidRPr="00A37229">
        <w:trPr>
          <w:trHeight w:val="493"/>
          <w:jc w:val="center"/>
        </w:trPr>
        <w:tc>
          <w:tcPr>
            <w:tcW w:w="495" w:type="dxa"/>
            <w:shd w:val="clear" w:color="auto" w:fill="C0C0C0"/>
            <w:vAlign w:val="center"/>
          </w:tcPr>
          <w:p w:rsidR="00B24D97" w:rsidRPr="00A37229" w:rsidRDefault="00B24D97" w:rsidP="00C5369E">
            <w:pPr>
              <w:spacing w:after="0"/>
              <w:jc w:val="center"/>
              <w:rPr>
                <w:rFonts w:cs="Arial"/>
                <w:sz w:val="18"/>
                <w:szCs w:val="18"/>
              </w:rPr>
            </w:pPr>
          </w:p>
        </w:tc>
        <w:tc>
          <w:tcPr>
            <w:tcW w:w="1059" w:type="dxa"/>
            <w:shd w:val="clear" w:color="auto" w:fill="C0C0C0"/>
            <w:vAlign w:val="center"/>
          </w:tcPr>
          <w:p w:rsidR="00B24D97" w:rsidRPr="00A37229" w:rsidRDefault="00B24D97" w:rsidP="00C5369E">
            <w:pPr>
              <w:spacing w:after="0"/>
              <w:jc w:val="center"/>
              <w:rPr>
                <w:rFonts w:cs="Arial"/>
                <w:b/>
                <w:bCs/>
                <w:sz w:val="18"/>
                <w:szCs w:val="18"/>
              </w:rPr>
            </w:pPr>
            <w:r w:rsidRPr="00A37229">
              <w:rPr>
                <w:rFonts w:cs="Arial"/>
                <w:b/>
                <w:bCs/>
                <w:sz w:val="18"/>
                <w:szCs w:val="18"/>
              </w:rPr>
              <w:t>Broker</w:t>
            </w:r>
          </w:p>
        </w:tc>
        <w:tc>
          <w:tcPr>
            <w:tcW w:w="2231" w:type="dxa"/>
            <w:shd w:val="clear" w:color="auto" w:fill="C0C0C0"/>
            <w:vAlign w:val="center"/>
          </w:tcPr>
          <w:p w:rsidR="00B24D97" w:rsidRPr="00A37229" w:rsidRDefault="00B24D97" w:rsidP="00C5369E">
            <w:pPr>
              <w:spacing w:after="0"/>
              <w:jc w:val="center"/>
              <w:rPr>
                <w:rFonts w:cs="Arial"/>
                <w:b/>
                <w:bCs/>
                <w:sz w:val="18"/>
                <w:szCs w:val="18"/>
              </w:rPr>
            </w:pPr>
            <w:r w:rsidRPr="00A37229">
              <w:rPr>
                <w:rFonts w:cs="Arial"/>
                <w:b/>
                <w:bCs/>
                <w:sz w:val="18"/>
                <w:szCs w:val="18"/>
              </w:rPr>
              <w:t>Lead Agreement Party</w:t>
            </w:r>
          </w:p>
        </w:tc>
        <w:tc>
          <w:tcPr>
            <w:tcW w:w="1744" w:type="dxa"/>
            <w:shd w:val="clear" w:color="auto" w:fill="C0C0C0"/>
            <w:vAlign w:val="center"/>
          </w:tcPr>
          <w:p w:rsidR="00B24D97" w:rsidRPr="00A37229" w:rsidRDefault="00B24D97" w:rsidP="00C5369E">
            <w:pPr>
              <w:spacing w:after="0"/>
              <w:jc w:val="center"/>
              <w:rPr>
                <w:rFonts w:cs="Arial"/>
                <w:b/>
                <w:bCs/>
                <w:sz w:val="18"/>
                <w:szCs w:val="18"/>
              </w:rPr>
            </w:pPr>
            <w:r w:rsidRPr="00A37229">
              <w:rPr>
                <w:rFonts w:cs="Arial"/>
                <w:b/>
                <w:bCs/>
                <w:sz w:val="18"/>
                <w:szCs w:val="18"/>
              </w:rPr>
              <w:t>XCS</w:t>
            </w:r>
          </w:p>
        </w:tc>
        <w:tc>
          <w:tcPr>
            <w:tcW w:w="992" w:type="dxa"/>
            <w:shd w:val="clear" w:color="auto" w:fill="C0C0C0"/>
            <w:vAlign w:val="center"/>
          </w:tcPr>
          <w:p w:rsidR="00B24D97" w:rsidRPr="00A37229" w:rsidRDefault="00B24D97" w:rsidP="00C5369E">
            <w:pPr>
              <w:spacing w:after="0"/>
              <w:jc w:val="center"/>
              <w:rPr>
                <w:rFonts w:cs="Arial"/>
                <w:b/>
                <w:bCs/>
                <w:sz w:val="18"/>
                <w:szCs w:val="18"/>
              </w:rPr>
            </w:pPr>
            <w:r w:rsidRPr="00A37229">
              <w:rPr>
                <w:rFonts w:cs="Arial"/>
                <w:b/>
                <w:bCs/>
                <w:sz w:val="18"/>
                <w:szCs w:val="18"/>
              </w:rPr>
              <w:t>Follower</w:t>
            </w:r>
          </w:p>
        </w:tc>
        <w:tc>
          <w:tcPr>
            <w:tcW w:w="2758" w:type="dxa"/>
            <w:shd w:val="clear" w:color="auto" w:fill="C0C0C0"/>
            <w:vAlign w:val="center"/>
          </w:tcPr>
          <w:p w:rsidR="00B24D97" w:rsidRPr="00A37229" w:rsidRDefault="00B24D97" w:rsidP="00C5369E">
            <w:pPr>
              <w:spacing w:after="0"/>
              <w:jc w:val="center"/>
              <w:rPr>
                <w:rFonts w:cs="Arial"/>
                <w:b/>
                <w:bCs/>
                <w:sz w:val="18"/>
                <w:szCs w:val="18"/>
              </w:rPr>
            </w:pPr>
            <w:r w:rsidRPr="00A37229">
              <w:rPr>
                <w:rFonts w:cs="Arial"/>
                <w:b/>
                <w:bCs/>
                <w:sz w:val="18"/>
                <w:szCs w:val="18"/>
              </w:rPr>
              <w:t>Potential Outcome</w:t>
            </w:r>
          </w:p>
        </w:tc>
      </w:tr>
      <w:tr w:rsidR="00B24D97" w:rsidRPr="00A37229" w:rsidTr="00C0106B">
        <w:trPr>
          <w:jc w:val="center"/>
        </w:trPr>
        <w:tc>
          <w:tcPr>
            <w:tcW w:w="495" w:type="dxa"/>
          </w:tcPr>
          <w:p w:rsidR="00B24D97" w:rsidRPr="00A37229" w:rsidRDefault="00B24D97" w:rsidP="00267352">
            <w:pPr>
              <w:spacing w:beforeLines="60" w:before="144" w:afterLines="60" w:after="144"/>
              <w:jc w:val="left"/>
              <w:rPr>
                <w:rFonts w:cs="Arial"/>
                <w:b/>
                <w:bCs/>
                <w:sz w:val="18"/>
                <w:szCs w:val="18"/>
              </w:rPr>
            </w:pPr>
            <w:r w:rsidRPr="00A37229">
              <w:rPr>
                <w:rFonts w:cs="Arial"/>
                <w:b/>
                <w:bCs/>
                <w:sz w:val="18"/>
                <w:szCs w:val="18"/>
              </w:rPr>
              <w:t>1.</w:t>
            </w:r>
          </w:p>
        </w:tc>
        <w:tc>
          <w:tcPr>
            <w:tcW w:w="1059" w:type="dxa"/>
          </w:tcPr>
          <w:p w:rsidR="00E71AF1" w:rsidRDefault="00B24D97" w:rsidP="00267352">
            <w:pPr>
              <w:spacing w:beforeLines="60" w:before="144" w:afterLines="60" w:after="144"/>
              <w:jc w:val="left"/>
              <w:rPr>
                <w:rFonts w:cs="Arial"/>
                <w:sz w:val="18"/>
                <w:szCs w:val="18"/>
              </w:rPr>
            </w:pPr>
            <w:r w:rsidRPr="00A37229">
              <w:rPr>
                <w:rFonts w:cs="Arial"/>
                <w:sz w:val="18"/>
                <w:szCs w:val="18"/>
              </w:rPr>
              <w:t>Reserve</w:t>
            </w:r>
          </w:p>
          <w:p w:rsidR="00E71AF1" w:rsidRDefault="00B24D97" w:rsidP="00267352">
            <w:pPr>
              <w:spacing w:beforeLines="60" w:before="144" w:afterLines="60" w:after="144"/>
              <w:jc w:val="left"/>
              <w:rPr>
                <w:rFonts w:cs="Arial"/>
                <w:sz w:val="18"/>
                <w:szCs w:val="18"/>
              </w:rPr>
            </w:pPr>
            <w:r w:rsidRPr="00A37229">
              <w:rPr>
                <w:rFonts w:cs="Arial"/>
                <w:sz w:val="18"/>
                <w:szCs w:val="18"/>
              </w:rPr>
              <w:t>Advised</w:t>
            </w:r>
          </w:p>
          <w:p w:rsidR="00E71AF1" w:rsidRDefault="00B24D97" w:rsidP="00EF4F64">
            <w:pPr>
              <w:spacing w:beforeLines="60" w:before="144" w:afterLines="60" w:after="144"/>
              <w:jc w:val="left"/>
              <w:rPr>
                <w:rFonts w:cs="Arial"/>
                <w:sz w:val="18"/>
                <w:szCs w:val="18"/>
              </w:rPr>
            </w:pPr>
            <w:r w:rsidRPr="00A37229">
              <w:rPr>
                <w:rFonts w:cs="Arial"/>
                <w:sz w:val="18"/>
                <w:szCs w:val="18"/>
              </w:rPr>
              <w:t>By the</w:t>
            </w:r>
          </w:p>
          <w:p w:rsidR="00E71AF1" w:rsidRDefault="00B24D97">
            <w:pPr>
              <w:spacing w:beforeLines="60" w:before="144" w:afterLines="60" w:after="144"/>
              <w:jc w:val="left"/>
              <w:rPr>
                <w:rFonts w:cs="Arial"/>
                <w:sz w:val="18"/>
                <w:szCs w:val="18"/>
              </w:rPr>
            </w:pPr>
            <w:r w:rsidRPr="00A37229">
              <w:rPr>
                <w:rFonts w:cs="Arial"/>
                <w:sz w:val="18"/>
                <w:szCs w:val="18"/>
              </w:rPr>
              <w:t>Broker</w:t>
            </w:r>
          </w:p>
        </w:tc>
        <w:tc>
          <w:tcPr>
            <w:tcW w:w="2231" w:type="dxa"/>
          </w:tcPr>
          <w:p w:rsidR="00E71AF1" w:rsidRDefault="00B24D97">
            <w:pPr>
              <w:spacing w:beforeLines="60" w:before="144" w:afterLines="60" w:after="144"/>
              <w:jc w:val="left"/>
              <w:rPr>
                <w:rFonts w:cs="Arial"/>
                <w:sz w:val="18"/>
                <w:szCs w:val="18"/>
              </w:rPr>
            </w:pPr>
            <w:r w:rsidRPr="00A37229">
              <w:rPr>
                <w:rFonts w:cs="Arial"/>
                <w:sz w:val="18"/>
                <w:szCs w:val="18"/>
              </w:rPr>
              <w:t>Considers that the broker advised reserve is incorrect and records (what they consider as) the correct reserve on the repository (not on CLASS)*</w:t>
            </w:r>
          </w:p>
        </w:tc>
        <w:tc>
          <w:tcPr>
            <w:tcW w:w="1744" w:type="dxa"/>
          </w:tcPr>
          <w:p w:rsidR="00E71AF1" w:rsidRDefault="00B24D97">
            <w:pPr>
              <w:spacing w:beforeLines="60" w:before="144" w:afterLines="60" w:after="144"/>
              <w:jc w:val="left"/>
              <w:rPr>
                <w:rFonts w:cs="Arial"/>
                <w:sz w:val="18"/>
                <w:szCs w:val="18"/>
              </w:rPr>
            </w:pPr>
            <w:r w:rsidRPr="00A37229">
              <w:rPr>
                <w:rFonts w:cs="Arial"/>
                <w:sz w:val="18"/>
                <w:szCs w:val="18"/>
              </w:rPr>
              <w:t>Concurs with lead Agreement Party’s assessment of the revised reserve</w:t>
            </w:r>
          </w:p>
        </w:tc>
        <w:tc>
          <w:tcPr>
            <w:tcW w:w="992" w:type="dxa"/>
          </w:tcPr>
          <w:p w:rsidR="00E71AF1" w:rsidRDefault="00B24D97">
            <w:pPr>
              <w:spacing w:beforeLines="60" w:before="144" w:afterLines="60" w:after="144"/>
              <w:jc w:val="left"/>
              <w:rPr>
                <w:rFonts w:cs="Arial"/>
                <w:sz w:val="18"/>
                <w:szCs w:val="18"/>
              </w:rPr>
            </w:pPr>
            <w:r w:rsidRPr="00A37229">
              <w:rPr>
                <w:rFonts w:cs="Arial"/>
                <w:sz w:val="18"/>
                <w:szCs w:val="18"/>
              </w:rPr>
              <w:t>Guided by the Lloyd’s Claims Scheme</w:t>
            </w:r>
          </w:p>
        </w:tc>
        <w:tc>
          <w:tcPr>
            <w:tcW w:w="2758" w:type="dxa"/>
          </w:tcPr>
          <w:p w:rsidR="00E71AF1" w:rsidRDefault="00B24D97">
            <w:pPr>
              <w:spacing w:beforeLines="60" w:before="144" w:afterLines="60" w:after="144"/>
              <w:jc w:val="left"/>
              <w:rPr>
                <w:rFonts w:cs="Arial"/>
                <w:sz w:val="18"/>
                <w:szCs w:val="18"/>
              </w:rPr>
            </w:pPr>
            <w:r w:rsidRPr="00A37229">
              <w:rPr>
                <w:rFonts w:cs="Arial"/>
                <w:sz w:val="18"/>
                <w:szCs w:val="18"/>
              </w:rPr>
              <w:t>CLASS TR needs to be Queried, then deleted by the broker and re-entered at revised reserve level (see also 1.a)</w:t>
            </w:r>
          </w:p>
        </w:tc>
      </w:tr>
      <w:tr w:rsidR="00B24D97" w:rsidRPr="00A37229" w:rsidTr="00C0106B">
        <w:trPr>
          <w:jc w:val="center"/>
        </w:trPr>
        <w:tc>
          <w:tcPr>
            <w:tcW w:w="495" w:type="dxa"/>
          </w:tcPr>
          <w:p w:rsidR="00B24D97" w:rsidRPr="00A37229" w:rsidRDefault="00B24D97" w:rsidP="00267352">
            <w:pPr>
              <w:spacing w:beforeLines="60" w:before="144" w:afterLines="60" w:after="144"/>
              <w:jc w:val="left"/>
              <w:rPr>
                <w:rFonts w:cs="Arial"/>
                <w:b/>
                <w:bCs/>
                <w:sz w:val="18"/>
                <w:szCs w:val="18"/>
              </w:rPr>
            </w:pPr>
            <w:r w:rsidRPr="00A37229">
              <w:rPr>
                <w:rFonts w:cs="Arial"/>
                <w:b/>
                <w:bCs/>
                <w:sz w:val="18"/>
                <w:szCs w:val="18"/>
              </w:rPr>
              <w:t>1.a</w:t>
            </w:r>
          </w:p>
        </w:tc>
        <w:tc>
          <w:tcPr>
            <w:tcW w:w="1059" w:type="dxa"/>
          </w:tcPr>
          <w:p w:rsidR="00E71AF1" w:rsidRDefault="00B24D97" w:rsidP="00267352">
            <w:pPr>
              <w:spacing w:beforeLines="60" w:before="144" w:afterLines="60" w:after="144"/>
              <w:jc w:val="left"/>
              <w:rPr>
                <w:rFonts w:cs="Arial"/>
                <w:sz w:val="18"/>
                <w:szCs w:val="18"/>
              </w:rPr>
            </w:pPr>
            <w:r w:rsidRPr="00A37229">
              <w:rPr>
                <w:rFonts w:cs="Arial"/>
                <w:sz w:val="18"/>
                <w:szCs w:val="18"/>
              </w:rPr>
              <w:t>Broker refuses to re-enter reserve at “agreed” level</w:t>
            </w:r>
          </w:p>
        </w:tc>
        <w:tc>
          <w:tcPr>
            <w:tcW w:w="2231" w:type="dxa"/>
          </w:tcPr>
          <w:p w:rsidR="00E71AF1" w:rsidRDefault="00B24D97" w:rsidP="00267352">
            <w:pPr>
              <w:spacing w:beforeLines="60" w:before="144" w:afterLines="60" w:after="144"/>
              <w:jc w:val="left"/>
              <w:rPr>
                <w:rFonts w:cs="Arial"/>
                <w:sz w:val="18"/>
                <w:szCs w:val="18"/>
              </w:rPr>
            </w:pPr>
            <w:r w:rsidRPr="00A37229">
              <w:rPr>
                <w:rFonts w:cs="Arial"/>
                <w:sz w:val="18"/>
                <w:szCs w:val="18"/>
              </w:rPr>
              <w:t>Follow the Revert to Paper process</w:t>
            </w:r>
          </w:p>
        </w:tc>
        <w:tc>
          <w:tcPr>
            <w:tcW w:w="1744" w:type="dxa"/>
          </w:tcPr>
          <w:p w:rsidR="00E71AF1" w:rsidRDefault="00B24D97" w:rsidP="00EF4F64">
            <w:pPr>
              <w:spacing w:beforeLines="60" w:before="144" w:afterLines="60" w:after="144"/>
              <w:jc w:val="left"/>
              <w:rPr>
                <w:rFonts w:cs="Arial"/>
                <w:sz w:val="18"/>
                <w:szCs w:val="18"/>
              </w:rPr>
            </w:pPr>
            <w:r w:rsidRPr="00A37229">
              <w:rPr>
                <w:rFonts w:cs="Arial"/>
                <w:sz w:val="18"/>
                <w:szCs w:val="18"/>
              </w:rPr>
              <w:t>Follow the Revert to Paper process</w:t>
            </w:r>
          </w:p>
        </w:tc>
        <w:tc>
          <w:tcPr>
            <w:tcW w:w="992" w:type="dxa"/>
          </w:tcPr>
          <w:p w:rsidR="00E71AF1" w:rsidRDefault="00A37229">
            <w:pPr>
              <w:spacing w:beforeLines="60" w:before="144" w:afterLines="60" w:after="144"/>
              <w:jc w:val="left"/>
              <w:rPr>
                <w:rFonts w:cs="Arial"/>
                <w:sz w:val="18"/>
                <w:szCs w:val="18"/>
              </w:rPr>
            </w:pPr>
            <w:r w:rsidRPr="00A37229">
              <w:rPr>
                <w:rFonts w:cs="Arial"/>
                <w:sz w:val="18"/>
                <w:szCs w:val="18"/>
              </w:rPr>
              <w:t>Guided by the Lloyd’s Claims Scheme</w:t>
            </w:r>
          </w:p>
        </w:tc>
        <w:tc>
          <w:tcPr>
            <w:tcW w:w="2758" w:type="dxa"/>
          </w:tcPr>
          <w:p w:rsidR="00E71AF1" w:rsidRDefault="00B24D97">
            <w:pPr>
              <w:spacing w:beforeLines="60" w:before="144" w:afterLines="60" w:after="144"/>
              <w:jc w:val="left"/>
              <w:rPr>
                <w:rFonts w:cs="Arial"/>
                <w:b/>
                <w:bCs/>
                <w:sz w:val="18"/>
                <w:szCs w:val="18"/>
                <w:u w:val="single"/>
              </w:rPr>
            </w:pPr>
            <w:r w:rsidRPr="00A37229">
              <w:rPr>
                <w:rFonts w:cs="Arial"/>
                <w:sz w:val="18"/>
                <w:szCs w:val="18"/>
              </w:rPr>
              <w:t>Follow the Revert to Paper process</w:t>
            </w:r>
          </w:p>
        </w:tc>
      </w:tr>
      <w:tr w:rsidR="00B24D97" w:rsidRPr="00A37229" w:rsidTr="00C0106B">
        <w:trPr>
          <w:jc w:val="center"/>
        </w:trPr>
        <w:tc>
          <w:tcPr>
            <w:tcW w:w="495" w:type="dxa"/>
          </w:tcPr>
          <w:p w:rsidR="00B24D97" w:rsidRPr="00A37229" w:rsidRDefault="00B24D97" w:rsidP="00267352">
            <w:pPr>
              <w:spacing w:beforeLines="60" w:before="144" w:afterLines="60" w:after="144"/>
              <w:jc w:val="left"/>
              <w:rPr>
                <w:rFonts w:cs="Arial"/>
                <w:b/>
                <w:bCs/>
                <w:sz w:val="18"/>
                <w:szCs w:val="18"/>
              </w:rPr>
            </w:pPr>
            <w:r w:rsidRPr="00A37229">
              <w:rPr>
                <w:rFonts w:cs="Arial"/>
                <w:b/>
                <w:bCs/>
                <w:sz w:val="18"/>
                <w:szCs w:val="18"/>
              </w:rPr>
              <w:t>2.</w:t>
            </w:r>
          </w:p>
        </w:tc>
        <w:tc>
          <w:tcPr>
            <w:tcW w:w="1059" w:type="dxa"/>
          </w:tcPr>
          <w:p w:rsidR="00E71AF1" w:rsidRDefault="00B24D97" w:rsidP="00267352">
            <w:pPr>
              <w:spacing w:beforeLines="60" w:before="144" w:afterLines="60" w:after="144"/>
              <w:jc w:val="left"/>
              <w:rPr>
                <w:rFonts w:cs="Arial"/>
                <w:sz w:val="18"/>
                <w:szCs w:val="18"/>
              </w:rPr>
            </w:pPr>
            <w:r w:rsidRPr="00A37229">
              <w:rPr>
                <w:rFonts w:cs="Arial"/>
                <w:sz w:val="18"/>
                <w:szCs w:val="18"/>
              </w:rPr>
              <w:t>Reserve</w:t>
            </w:r>
          </w:p>
          <w:p w:rsidR="00E71AF1" w:rsidRDefault="00B24D97" w:rsidP="00267352">
            <w:pPr>
              <w:spacing w:beforeLines="60" w:before="144" w:afterLines="60" w:after="144"/>
              <w:jc w:val="left"/>
              <w:rPr>
                <w:rFonts w:cs="Arial"/>
                <w:sz w:val="18"/>
                <w:szCs w:val="18"/>
              </w:rPr>
            </w:pPr>
            <w:r w:rsidRPr="00A37229">
              <w:rPr>
                <w:rFonts w:cs="Arial"/>
                <w:sz w:val="18"/>
                <w:szCs w:val="18"/>
              </w:rPr>
              <w:t>Advised</w:t>
            </w:r>
          </w:p>
          <w:p w:rsidR="00E71AF1" w:rsidRDefault="00B24D97" w:rsidP="00EF4F64">
            <w:pPr>
              <w:spacing w:beforeLines="60" w:before="144" w:afterLines="60" w:after="144"/>
              <w:jc w:val="left"/>
              <w:rPr>
                <w:rFonts w:cs="Arial"/>
                <w:sz w:val="18"/>
                <w:szCs w:val="18"/>
              </w:rPr>
            </w:pPr>
            <w:r w:rsidRPr="00A37229">
              <w:rPr>
                <w:rFonts w:cs="Arial"/>
                <w:sz w:val="18"/>
                <w:szCs w:val="18"/>
              </w:rPr>
              <w:t>By the</w:t>
            </w:r>
          </w:p>
          <w:p w:rsidR="00E71AF1" w:rsidRDefault="00B24D97">
            <w:pPr>
              <w:spacing w:beforeLines="60" w:before="144" w:afterLines="60" w:after="144"/>
              <w:jc w:val="left"/>
              <w:rPr>
                <w:rFonts w:cs="Arial"/>
                <w:sz w:val="18"/>
                <w:szCs w:val="18"/>
              </w:rPr>
            </w:pPr>
            <w:r w:rsidRPr="00A37229">
              <w:rPr>
                <w:rFonts w:cs="Arial"/>
                <w:sz w:val="18"/>
                <w:szCs w:val="18"/>
              </w:rPr>
              <w:t>Broker</w:t>
            </w:r>
          </w:p>
        </w:tc>
        <w:tc>
          <w:tcPr>
            <w:tcW w:w="2231" w:type="dxa"/>
          </w:tcPr>
          <w:p w:rsidR="00E71AF1" w:rsidRDefault="00B24D97">
            <w:pPr>
              <w:spacing w:beforeLines="60" w:before="144" w:afterLines="60" w:after="144"/>
              <w:jc w:val="left"/>
              <w:rPr>
                <w:rFonts w:cs="Arial"/>
                <w:sz w:val="18"/>
                <w:szCs w:val="18"/>
              </w:rPr>
            </w:pPr>
            <w:r w:rsidRPr="00A37229">
              <w:rPr>
                <w:rFonts w:cs="Arial"/>
                <w:sz w:val="18"/>
                <w:szCs w:val="18"/>
              </w:rPr>
              <w:t>Considers that the broker advised reserve is incorrect and records (what they consider as) the correct reserve on the repository (not on CLASS)*</w:t>
            </w:r>
          </w:p>
        </w:tc>
        <w:tc>
          <w:tcPr>
            <w:tcW w:w="1744" w:type="dxa"/>
          </w:tcPr>
          <w:p w:rsidR="00E71AF1" w:rsidRDefault="00B24D97">
            <w:pPr>
              <w:spacing w:beforeLines="60" w:before="144" w:afterLines="60" w:after="144"/>
              <w:jc w:val="left"/>
              <w:rPr>
                <w:rFonts w:cs="Arial"/>
                <w:sz w:val="18"/>
                <w:szCs w:val="18"/>
              </w:rPr>
            </w:pPr>
            <w:r w:rsidRPr="00A37229">
              <w:rPr>
                <w:rFonts w:cs="Arial"/>
                <w:sz w:val="18"/>
                <w:szCs w:val="18"/>
              </w:rPr>
              <w:t>Disagrees with the Lead Agreement Party’s assessment of the revised reserve</w:t>
            </w:r>
          </w:p>
        </w:tc>
        <w:tc>
          <w:tcPr>
            <w:tcW w:w="992" w:type="dxa"/>
          </w:tcPr>
          <w:p w:rsidR="00E71AF1" w:rsidRDefault="00A37229">
            <w:pPr>
              <w:spacing w:beforeLines="60" w:before="144" w:afterLines="60" w:after="144"/>
              <w:jc w:val="left"/>
              <w:rPr>
                <w:rFonts w:cs="Arial"/>
                <w:sz w:val="18"/>
                <w:szCs w:val="18"/>
              </w:rPr>
            </w:pPr>
            <w:r w:rsidRPr="00A37229">
              <w:rPr>
                <w:rFonts w:cs="Arial"/>
                <w:sz w:val="18"/>
                <w:szCs w:val="18"/>
              </w:rPr>
              <w:t>Guided by the Lloyd’s Claims Scheme</w:t>
            </w:r>
          </w:p>
        </w:tc>
        <w:tc>
          <w:tcPr>
            <w:tcW w:w="2758" w:type="dxa"/>
          </w:tcPr>
          <w:p w:rsidR="00E71AF1" w:rsidRDefault="00B24D97">
            <w:pPr>
              <w:spacing w:beforeLines="60" w:before="144" w:afterLines="60" w:after="144"/>
              <w:jc w:val="left"/>
              <w:rPr>
                <w:rFonts w:cs="Arial"/>
                <w:sz w:val="18"/>
                <w:szCs w:val="18"/>
              </w:rPr>
            </w:pPr>
            <w:r w:rsidRPr="00A37229">
              <w:rPr>
                <w:rFonts w:cs="Arial"/>
                <w:b/>
                <w:bCs/>
                <w:sz w:val="18"/>
                <w:szCs w:val="18"/>
                <w:u w:val="single"/>
              </w:rPr>
              <w:t>Either</w:t>
            </w:r>
            <w:r w:rsidRPr="00A37229">
              <w:rPr>
                <w:rFonts w:cs="Arial"/>
                <w:sz w:val="18"/>
                <w:szCs w:val="18"/>
              </w:rPr>
              <w:t xml:space="preserve">: Lead Agreement Party and XCS agree on the reserve (which may result in the outcome at 1. or 1.a above) </w:t>
            </w:r>
            <w:r w:rsidRPr="00A37229">
              <w:rPr>
                <w:rFonts w:cs="Arial"/>
                <w:b/>
                <w:bCs/>
                <w:sz w:val="18"/>
                <w:szCs w:val="18"/>
              </w:rPr>
              <w:t xml:space="preserve">–or- </w:t>
            </w:r>
            <w:r w:rsidRPr="00A37229">
              <w:rPr>
                <w:rFonts w:cs="Arial"/>
                <w:sz w:val="18"/>
                <w:szCs w:val="18"/>
              </w:rPr>
              <w:t xml:space="preserve">revert to the paper process </w:t>
            </w:r>
          </w:p>
        </w:tc>
      </w:tr>
      <w:tr w:rsidR="00B24D97" w:rsidRPr="00A37229" w:rsidTr="00C0106B">
        <w:trPr>
          <w:jc w:val="center"/>
        </w:trPr>
        <w:tc>
          <w:tcPr>
            <w:tcW w:w="495" w:type="dxa"/>
          </w:tcPr>
          <w:p w:rsidR="00E71AF1" w:rsidRDefault="00B24D97" w:rsidP="00267352">
            <w:pPr>
              <w:spacing w:beforeLines="60" w:before="144" w:afterLines="60" w:after="144"/>
              <w:jc w:val="left"/>
              <w:rPr>
                <w:rFonts w:cs="Arial"/>
                <w:b/>
                <w:bCs/>
                <w:sz w:val="18"/>
                <w:szCs w:val="18"/>
              </w:rPr>
            </w:pPr>
            <w:r w:rsidRPr="00A37229">
              <w:rPr>
                <w:rFonts w:cs="Arial"/>
                <w:b/>
                <w:bCs/>
                <w:sz w:val="18"/>
                <w:szCs w:val="18"/>
              </w:rPr>
              <w:t>3.</w:t>
            </w:r>
          </w:p>
        </w:tc>
        <w:tc>
          <w:tcPr>
            <w:tcW w:w="1059" w:type="dxa"/>
          </w:tcPr>
          <w:p w:rsidR="00E71AF1" w:rsidRDefault="00A37229" w:rsidP="00267352">
            <w:pPr>
              <w:spacing w:beforeLines="60" w:before="144" w:afterLines="60" w:after="144"/>
              <w:jc w:val="left"/>
              <w:rPr>
                <w:rFonts w:cs="Arial"/>
                <w:sz w:val="18"/>
                <w:szCs w:val="18"/>
              </w:rPr>
            </w:pPr>
            <w:r w:rsidRPr="00A37229">
              <w:rPr>
                <w:rFonts w:cs="Arial"/>
                <w:sz w:val="18"/>
                <w:szCs w:val="18"/>
              </w:rPr>
              <w:t>Reserve</w:t>
            </w:r>
          </w:p>
          <w:p w:rsidR="00E71AF1" w:rsidRDefault="00A37229">
            <w:pPr>
              <w:spacing w:beforeLines="60" w:before="144" w:afterLines="60" w:after="144"/>
              <w:jc w:val="left"/>
              <w:rPr>
                <w:rFonts w:cs="Arial"/>
                <w:sz w:val="18"/>
                <w:szCs w:val="18"/>
              </w:rPr>
            </w:pPr>
            <w:r w:rsidRPr="00A37229">
              <w:rPr>
                <w:rFonts w:cs="Arial"/>
                <w:sz w:val="18"/>
                <w:szCs w:val="18"/>
              </w:rPr>
              <w:t>Advised</w:t>
            </w:r>
          </w:p>
          <w:p w:rsidR="00E71AF1" w:rsidRDefault="00A37229">
            <w:pPr>
              <w:spacing w:beforeLines="60" w:before="144" w:afterLines="60" w:after="144"/>
              <w:jc w:val="left"/>
              <w:rPr>
                <w:rFonts w:cs="Arial"/>
                <w:sz w:val="18"/>
                <w:szCs w:val="18"/>
              </w:rPr>
            </w:pPr>
            <w:r w:rsidRPr="00A37229">
              <w:rPr>
                <w:rFonts w:cs="Arial"/>
                <w:sz w:val="18"/>
                <w:szCs w:val="18"/>
              </w:rPr>
              <w:lastRenderedPageBreak/>
              <w:t>By the</w:t>
            </w:r>
          </w:p>
          <w:p w:rsidR="00E71AF1" w:rsidRDefault="00A37229">
            <w:pPr>
              <w:spacing w:beforeLines="60" w:before="144" w:afterLines="60" w:after="144"/>
              <w:jc w:val="left"/>
              <w:rPr>
                <w:rFonts w:cs="Arial"/>
                <w:sz w:val="18"/>
                <w:szCs w:val="18"/>
              </w:rPr>
            </w:pPr>
            <w:r w:rsidRPr="00A37229">
              <w:rPr>
                <w:rFonts w:cs="Arial"/>
                <w:sz w:val="18"/>
                <w:szCs w:val="18"/>
              </w:rPr>
              <w:t>Broker</w:t>
            </w:r>
          </w:p>
        </w:tc>
        <w:tc>
          <w:tcPr>
            <w:tcW w:w="2231" w:type="dxa"/>
          </w:tcPr>
          <w:p w:rsidR="00E71AF1" w:rsidRDefault="00B24D97">
            <w:pPr>
              <w:spacing w:beforeLines="60" w:before="144" w:afterLines="60" w:after="144"/>
              <w:jc w:val="left"/>
              <w:rPr>
                <w:rFonts w:cs="Arial"/>
                <w:sz w:val="18"/>
                <w:szCs w:val="18"/>
              </w:rPr>
            </w:pPr>
            <w:r w:rsidRPr="00A37229">
              <w:rPr>
                <w:rFonts w:cs="Arial"/>
                <w:sz w:val="18"/>
                <w:szCs w:val="18"/>
              </w:rPr>
              <w:lastRenderedPageBreak/>
              <w:t>Agrees with the reserve entered by the broker</w:t>
            </w:r>
          </w:p>
        </w:tc>
        <w:tc>
          <w:tcPr>
            <w:tcW w:w="1744" w:type="dxa"/>
          </w:tcPr>
          <w:p w:rsidR="00E71AF1" w:rsidRDefault="00B24D97">
            <w:pPr>
              <w:spacing w:beforeLines="60" w:before="144" w:afterLines="60" w:after="144"/>
              <w:jc w:val="left"/>
              <w:rPr>
                <w:rFonts w:cs="Arial"/>
                <w:sz w:val="18"/>
                <w:szCs w:val="18"/>
              </w:rPr>
            </w:pPr>
            <w:r w:rsidRPr="00A37229">
              <w:rPr>
                <w:rFonts w:cs="Arial"/>
                <w:sz w:val="18"/>
                <w:szCs w:val="18"/>
              </w:rPr>
              <w:t xml:space="preserve">Considers that the broker advised reserve is incorrect and records (what </w:t>
            </w:r>
            <w:r w:rsidRPr="00A37229">
              <w:rPr>
                <w:rFonts w:cs="Arial"/>
                <w:sz w:val="18"/>
                <w:szCs w:val="18"/>
              </w:rPr>
              <w:lastRenderedPageBreak/>
              <w:t>XCS consider as) the correct reserve on the repository (not on CLASS)*</w:t>
            </w:r>
          </w:p>
        </w:tc>
        <w:tc>
          <w:tcPr>
            <w:tcW w:w="992" w:type="dxa"/>
          </w:tcPr>
          <w:p w:rsidR="00E71AF1" w:rsidRDefault="00A37229">
            <w:pPr>
              <w:spacing w:beforeLines="60" w:before="144" w:afterLines="60" w:after="144"/>
              <w:jc w:val="left"/>
              <w:rPr>
                <w:rFonts w:cs="Arial"/>
                <w:sz w:val="18"/>
                <w:szCs w:val="18"/>
              </w:rPr>
            </w:pPr>
            <w:r w:rsidRPr="00A37229">
              <w:rPr>
                <w:rFonts w:cs="Arial"/>
                <w:sz w:val="18"/>
                <w:szCs w:val="18"/>
              </w:rPr>
              <w:lastRenderedPageBreak/>
              <w:t xml:space="preserve">Guided by the Lloyd’s Claims </w:t>
            </w:r>
            <w:r w:rsidRPr="00A37229">
              <w:rPr>
                <w:rFonts w:cs="Arial"/>
                <w:sz w:val="18"/>
                <w:szCs w:val="18"/>
              </w:rPr>
              <w:lastRenderedPageBreak/>
              <w:t>Scheme</w:t>
            </w:r>
          </w:p>
        </w:tc>
        <w:tc>
          <w:tcPr>
            <w:tcW w:w="2758" w:type="dxa"/>
          </w:tcPr>
          <w:p w:rsidR="00E71AF1" w:rsidRDefault="00B24D97">
            <w:pPr>
              <w:spacing w:beforeLines="60" w:before="144" w:afterLines="60" w:after="144"/>
              <w:jc w:val="left"/>
              <w:rPr>
                <w:rFonts w:cs="Arial"/>
                <w:sz w:val="18"/>
                <w:szCs w:val="18"/>
              </w:rPr>
            </w:pPr>
            <w:r w:rsidRPr="00A37229">
              <w:rPr>
                <w:rFonts w:cs="Arial"/>
                <w:b/>
                <w:bCs/>
                <w:sz w:val="18"/>
                <w:szCs w:val="18"/>
                <w:u w:val="single"/>
              </w:rPr>
              <w:lastRenderedPageBreak/>
              <w:t>Either</w:t>
            </w:r>
            <w:r w:rsidRPr="00A37229">
              <w:rPr>
                <w:rFonts w:cs="Arial"/>
                <w:sz w:val="18"/>
                <w:szCs w:val="18"/>
              </w:rPr>
              <w:t xml:space="preserve">: Lead Agreement Party and XCS agree on the reserve (which may result in the outcome at 1. or 1.a above) </w:t>
            </w:r>
            <w:r w:rsidRPr="00A37229">
              <w:rPr>
                <w:rFonts w:cs="Arial"/>
                <w:b/>
                <w:bCs/>
                <w:sz w:val="18"/>
                <w:szCs w:val="18"/>
              </w:rPr>
              <w:t>–</w:t>
            </w:r>
            <w:r w:rsidRPr="00A37229">
              <w:rPr>
                <w:rFonts w:cs="Arial"/>
                <w:b/>
                <w:bCs/>
                <w:sz w:val="18"/>
                <w:szCs w:val="18"/>
              </w:rPr>
              <w:lastRenderedPageBreak/>
              <w:t xml:space="preserve">or- </w:t>
            </w:r>
            <w:r w:rsidRPr="00A37229">
              <w:rPr>
                <w:rFonts w:cs="Arial"/>
                <w:sz w:val="18"/>
                <w:szCs w:val="18"/>
              </w:rPr>
              <w:t>revert to the paper process as per section</w:t>
            </w:r>
          </w:p>
        </w:tc>
      </w:tr>
      <w:tr w:rsidR="00B24D97" w:rsidRPr="00A37229" w:rsidTr="00C0106B">
        <w:trPr>
          <w:jc w:val="center"/>
        </w:trPr>
        <w:tc>
          <w:tcPr>
            <w:tcW w:w="495" w:type="dxa"/>
          </w:tcPr>
          <w:p w:rsidR="00E71AF1" w:rsidRDefault="00B24D97" w:rsidP="00267352">
            <w:pPr>
              <w:spacing w:beforeLines="60" w:before="144" w:afterLines="60" w:after="144"/>
              <w:jc w:val="left"/>
              <w:rPr>
                <w:rFonts w:cs="Arial"/>
                <w:b/>
                <w:bCs/>
                <w:sz w:val="18"/>
                <w:szCs w:val="18"/>
              </w:rPr>
            </w:pPr>
            <w:r w:rsidRPr="00A37229">
              <w:rPr>
                <w:rFonts w:cs="Arial"/>
                <w:b/>
                <w:bCs/>
                <w:sz w:val="18"/>
                <w:szCs w:val="18"/>
              </w:rPr>
              <w:lastRenderedPageBreak/>
              <w:t>4.</w:t>
            </w:r>
          </w:p>
        </w:tc>
        <w:tc>
          <w:tcPr>
            <w:tcW w:w="1059" w:type="dxa"/>
          </w:tcPr>
          <w:p w:rsidR="00E71AF1" w:rsidRDefault="00A37229" w:rsidP="00267352">
            <w:pPr>
              <w:spacing w:beforeLines="60" w:before="144" w:afterLines="60" w:after="144"/>
              <w:jc w:val="left"/>
              <w:rPr>
                <w:rFonts w:cs="Arial"/>
                <w:sz w:val="18"/>
                <w:szCs w:val="18"/>
              </w:rPr>
            </w:pPr>
            <w:r w:rsidRPr="00A37229">
              <w:rPr>
                <w:rFonts w:cs="Arial"/>
                <w:sz w:val="18"/>
                <w:szCs w:val="18"/>
              </w:rPr>
              <w:t>Reserve</w:t>
            </w:r>
          </w:p>
          <w:p w:rsidR="00E71AF1" w:rsidRDefault="00A37229" w:rsidP="00267352">
            <w:pPr>
              <w:spacing w:beforeLines="60" w:before="144" w:afterLines="60" w:after="144"/>
              <w:jc w:val="left"/>
              <w:rPr>
                <w:rFonts w:cs="Arial"/>
                <w:sz w:val="18"/>
                <w:szCs w:val="18"/>
              </w:rPr>
            </w:pPr>
            <w:r w:rsidRPr="00A37229">
              <w:rPr>
                <w:rFonts w:cs="Arial"/>
                <w:sz w:val="18"/>
                <w:szCs w:val="18"/>
              </w:rPr>
              <w:t>Advised</w:t>
            </w:r>
          </w:p>
          <w:p w:rsidR="00E71AF1" w:rsidRDefault="00A37229" w:rsidP="00267352">
            <w:pPr>
              <w:spacing w:beforeLines="60" w:before="144" w:afterLines="60" w:after="144"/>
              <w:jc w:val="left"/>
              <w:rPr>
                <w:rFonts w:cs="Arial"/>
                <w:sz w:val="18"/>
                <w:szCs w:val="18"/>
              </w:rPr>
            </w:pPr>
            <w:r w:rsidRPr="00A37229">
              <w:rPr>
                <w:rFonts w:cs="Arial"/>
                <w:sz w:val="18"/>
                <w:szCs w:val="18"/>
              </w:rPr>
              <w:t>By the</w:t>
            </w:r>
          </w:p>
          <w:p w:rsidR="00E71AF1" w:rsidRDefault="00A37229">
            <w:pPr>
              <w:spacing w:beforeLines="60" w:before="144" w:afterLines="60" w:after="144"/>
              <w:jc w:val="left"/>
              <w:rPr>
                <w:rFonts w:cs="Arial"/>
                <w:sz w:val="18"/>
                <w:szCs w:val="18"/>
              </w:rPr>
            </w:pPr>
            <w:r w:rsidRPr="00A37229">
              <w:rPr>
                <w:rFonts w:cs="Arial"/>
                <w:sz w:val="18"/>
                <w:szCs w:val="18"/>
              </w:rPr>
              <w:t>Broker</w:t>
            </w:r>
          </w:p>
        </w:tc>
        <w:tc>
          <w:tcPr>
            <w:tcW w:w="2231" w:type="dxa"/>
          </w:tcPr>
          <w:p w:rsidR="00E71AF1" w:rsidRDefault="00A37229">
            <w:pPr>
              <w:spacing w:beforeLines="60" w:before="144" w:afterLines="60" w:after="144"/>
              <w:jc w:val="left"/>
              <w:rPr>
                <w:rFonts w:cs="Arial"/>
                <w:sz w:val="18"/>
                <w:szCs w:val="18"/>
              </w:rPr>
            </w:pPr>
            <w:r w:rsidRPr="00A37229">
              <w:rPr>
                <w:rFonts w:cs="Arial"/>
                <w:sz w:val="18"/>
                <w:szCs w:val="18"/>
              </w:rPr>
              <w:t>Agrees with the reserve entered by the broker</w:t>
            </w:r>
          </w:p>
        </w:tc>
        <w:tc>
          <w:tcPr>
            <w:tcW w:w="1744" w:type="dxa"/>
          </w:tcPr>
          <w:p w:rsidR="00E71AF1" w:rsidRDefault="00B24D97">
            <w:pPr>
              <w:spacing w:beforeLines="60" w:before="144" w:afterLines="60" w:after="144"/>
              <w:jc w:val="left"/>
              <w:rPr>
                <w:rFonts w:cs="Arial"/>
                <w:sz w:val="18"/>
                <w:szCs w:val="18"/>
              </w:rPr>
            </w:pPr>
            <w:r w:rsidRPr="00A37229">
              <w:rPr>
                <w:rFonts w:cs="Arial"/>
                <w:sz w:val="18"/>
                <w:szCs w:val="18"/>
              </w:rPr>
              <w:t>Agrees with the reserve entered by the broker</w:t>
            </w:r>
          </w:p>
        </w:tc>
        <w:tc>
          <w:tcPr>
            <w:tcW w:w="992" w:type="dxa"/>
          </w:tcPr>
          <w:p w:rsidR="00E71AF1" w:rsidRDefault="00A37229">
            <w:pPr>
              <w:spacing w:beforeLines="60" w:before="144" w:afterLines="60" w:after="144"/>
              <w:jc w:val="left"/>
              <w:rPr>
                <w:rFonts w:cs="Arial"/>
                <w:sz w:val="18"/>
                <w:szCs w:val="18"/>
              </w:rPr>
            </w:pPr>
            <w:r w:rsidRPr="00A37229">
              <w:rPr>
                <w:rFonts w:cs="Arial"/>
                <w:sz w:val="18"/>
                <w:szCs w:val="18"/>
              </w:rPr>
              <w:t>Guided by the Lloyd’s Claims Scheme</w:t>
            </w:r>
          </w:p>
        </w:tc>
        <w:tc>
          <w:tcPr>
            <w:tcW w:w="2758" w:type="dxa"/>
          </w:tcPr>
          <w:p w:rsidR="00E71AF1" w:rsidRDefault="00B24D97">
            <w:pPr>
              <w:spacing w:beforeLines="60" w:before="144" w:afterLines="60" w:after="144"/>
              <w:jc w:val="left"/>
              <w:rPr>
                <w:rFonts w:cs="Arial"/>
                <w:sz w:val="18"/>
                <w:szCs w:val="18"/>
              </w:rPr>
            </w:pPr>
            <w:r w:rsidRPr="00A37229">
              <w:rPr>
                <w:rFonts w:cs="Arial"/>
                <w:b/>
                <w:bCs/>
                <w:sz w:val="18"/>
                <w:szCs w:val="18"/>
                <w:u w:val="single"/>
              </w:rPr>
              <w:t>Either</w:t>
            </w:r>
            <w:r w:rsidRPr="00A37229">
              <w:rPr>
                <w:rFonts w:cs="Arial"/>
                <w:sz w:val="18"/>
                <w:szCs w:val="18"/>
              </w:rPr>
              <w:t>: Lead Agreement Party and XCS agree on the reserve</w:t>
            </w:r>
            <w:r w:rsidR="00A37229">
              <w:rPr>
                <w:rFonts w:cs="Arial"/>
                <w:sz w:val="18"/>
                <w:szCs w:val="18"/>
              </w:rPr>
              <w:t>, the claim can therefore be handled in the usual manner.</w:t>
            </w:r>
          </w:p>
        </w:tc>
      </w:tr>
      <w:tr w:rsidR="00A37229" w:rsidRPr="00170979" w:rsidTr="00C0106B">
        <w:trPr>
          <w:jc w:val="center"/>
        </w:trPr>
        <w:tc>
          <w:tcPr>
            <w:tcW w:w="495" w:type="dxa"/>
          </w:tcPr>
          <w:p w:rsidR="00E71AF1" w:rsidRDefault="00A37229" w:rsidP="00267352">
            <w:pPr>
              <w:spacing w:beforeLines="60" w:before="144" w:afterLines="60" w:after="144"/>
              <w:jc w:val="left"/>
              <w:rPr>
                <w:rFonts w:cs="Arial"/>
                <w:b/>
                <w:bCs/>
                <w:sz w:val="18"/>
                <w:szCs w:val="18"/>
              </w:rPr>
            </w:pPr>
            <w:r w:rsidRPr="00A37229">
              <w:rPr>
                <w:rFonts w:cs="Arial"/>
                <w:b/>
                <w:bCs/>
                <w:sz w:val="18"/>
                <w:szCs w:val="18"/>
              </w:rPr>
              <w:t>5.</w:t>
            </w:r>
          </w:p>
        </w:tc>
        <w:tc>
          <w:tcPr>
            <w:tcW w:w="1059" w:type="dxa"/>
          </w:tcPr>
          <w:p w:rsidR="00E71AF1" w:rsidRDefault="00A37229" w:rsidP="00267352">
            <w:pPr>
              <w:spacing w:beforeLines="60" w:before="144" w:afterLines="60" w:after="144"/>
              <w:jc w:val="left"/>
              <w:rPr>
                <w:rFonts w:cs="Arial"/>
                <w:sz w:val="18"/>
                <w:szCs w:val="18"/>
              </w:rPr>
            </w:pPr>
            <w:r w:rsidRPr="00A37229">
              <w:rPr>
                <w:rFonts w:cs="Arial"/>
                <w:sz w:val="18"/>
                <w:szCs w:val="18"/>
              </w:rPr>
              <w:t>Reserve</w:t>
            </w:r>
          </w:p>
          <w:p w:rsidR="00E71AF1" w:rsidRDefault="00A37229" w:rsidP="00267352">
            <w:pPr>
              <w:spacing w:beforeLines="60" w:before="144" w:afterLines="60" w:after="144"/>
              <w:jc w:val="left"/>
              <w:rPr>
                <w:rFonts w:cs="Arial"/>
                <w:sz w:val="18"/>
                <w:szCs w:val="18"/>
              </w:rPr>
            </w:pPr>
            <w:r w:rsidRPr="00A37229">
              <w:rPr>
                <w:rFonts w:cs="Arial"/>
                <w:sz w:val="18"/>
                <w:szCs w:val="18"/>
              </w:rPr>
              <w:t>Advised</w:t>
            </w:r>
          </w:p>
          <w:p w:rsidR="00E71AF1" w:rsidRDefault="00A37229" w:rsidP="00267352">
            <w:pPr>
              <w:spacing w:beforeLines="60" w:before="144" w:afterLines="60" w:after="144"/>
              <w:jc w:val="left"/>
              <w:rPr>
                <w:rFonts w:cs="Arial"/>
                <w:sz w:val="18"/>
                <w:szCs w:val="18"/>
              </w:rPr>
            </w:pPr>
            <w:r w:rsidRPr="00A37229">
              <w:rPr>
                <w:rFonts w:cs="Arial"/>
                <w:sz w:val="18"/>
                <w:szCs w:val="18"/>
              </w:rPr>
              <w:t>By the</w:t>
            </w:r>
          </w:p>
          <w:p w:rsidR="00E71AF1" w:rsidRDefault="00A37229" w:rsidP="00267352">
            <w:pPr>
              <w:spacing w:beforeLines="60" w:before="144" w:afterLines="60" w:after="144"/>
              <w:jc w:val="left"/>
              <w:rPr>
                <w:rFonts w:cs="Arial"/>
                <w:sz w:val="18"/>
                <w:szCs w:val="18"/>
              </w:rPr>
            </w:pPr>
            <w:r w:rsidRPr="00A37229">
              <w:rPr>
                <w:rFonts w:cs="Arial"/>
                <w:sz w:val="18"/>
                <w:szCs w:val="18"/>
              </w:rPr>
              <w:t>Broker</w:t>
            </w:r>
          </w:p>
        </w:tc>
        <w:tc>
          <w:tcPr>
            <w:tcW w:w="2231" w:type="dxa"/>
          </w:tcPr>
          <w:p w:rsidR="00E71AF1" w:rsidRDefault="00A37229">
            <w:pPr>
              <w:spacing w:beforeLines="60" w:before="144" w:afterLines="60" w:after="144"/>
              <w:jc w:val="left"/>
              <w:rPr>
                <w:rFonts w:cs="Arial"/>
                <w:sz w:val="18"/>
                <w:szCs w:val="18"/>
              </w:rPr>
            </w:pPr>
            <w:r w:rsidRPr="00A37229">
              <w:rPr>
                <w:rFonts w:cs="Arial"/>
                <w:sz w:val="18"/>
                <w:szCs w:val="18"/>
              </w:rPr>
              <w:t>Matter is direct reporting and lead disagrees with the broker advised reserve.</w:t>
            </w:r>
          </w:p>
        </w:tc>
        <w:tc>
          <w:tcPr>
            <w:tcW w:w="1744" w:type="dxa"/>
          </w:tcPr>
          <w:p w:rsidR="00E71AF1" w:rsidRDefault="00A37229">
            <w:pPr>
              <w:spacing w:beforeLines="60" w:before="144" w:afterLines="60" w:after="144"/>
              <w:jc w:val="left"/>
              <w:rPr>
                <w:rFonts w:cs="Arial"/>
                <w:sz w:val="18"/>
                <w:szCs w:val="18"/>
              </w:rPr>
            </w:pPr>
            <w:r w:rsidRPr="00A37229">
              <w:rPr>
                <w:rFonts w:cs="Arial"/>
                <w:sz w:val="18"/>
                <w:szCs w:val="18"/>
              </w:rPr>
              <w:t>Considers that the broker advised reserve is incorrect due to reserves advised directly.</w:t>
            </w:r>
          </w:p>
        </w:tc>
        <w:tc>
          <w:tcPr>
            <w:tcW w:w="992" w:type="dxa"/>
          </w:tcPr>
          <w:p w:rsidR="00E71AF1" w:rsidRDefault="00A37229">
            <w:pPr>
              <w:spacing w:beforeLines="60" w:before="144" w:afterLines="60" w:after="144"/>
              <w:jc w:val="left"/>
              <w:rPr>
                <w:rFonts w:cs="Arial"/>
                <w:sz w:val="18"/>
                <w:szCs w:val="18"/>
              </w:rPr>
            </w:pPr>
            <w:r w:rsidRPr="00A37229">
              <w:rPr>
                <w:rFonts w:cs="Arial"/>
                <w:sz w:val="18"/>
                <w:szCs w:val="18"/>
              </w:rPr>
              <w:t>Guided by the Lloyd’s Claims Scheme</w:t>
            </w:r>
          </w:p>
        </w:tc>
        <w:tc>
          <w:tcPr>
            <w:tcW w:w="2758" w:type="dxa"/>
          </w:tcPr>
          <w:p w:rsidR="00E71AF1" w:rsidRDefault="00A37229">
            <w:pPr>
              <w:spacing w:beforeLines="60" w:before="144" w:afterLines="60" w:after="144"/>
              <w:jc w:val="left"/>
              <w:rPr>
                <w:rFonts w:cs="Arial"/>
                <w:sz w:val="18"/>
                <w:szCs w:val="18"/>
              </w:rPr>
            </w:pPr>
            <w:r w:rsidRPr="00A37229">
              <w:rPr>
                <w:rFonts w:cs="Arial"/>
                <w:sz w:val="18"/>
                <w:szCs w:val="18"/>
              </w:rPr>
              <w:t>Follow the revert to paper process.</w:t>
            </w:r>
          </w:p>
        </w:tc>
      </w:tr>
    </w:tbl>
    <w:p w:rsidR="00B24D97" w:rsidRPr="00D64309" w:rsidRDefault="00B24D97" w:rsidP="003D3E37">
      <w:pPr>
        <w:rPr>
          <w:rFonts w:cs="Arial"/>
        </w:rPr>
      </w:pPr>
      <w:r w:rsidRPr="00A37229">
        <w:rPr>
          <w:rFonts w:cs="Arial"/>
        </w:rPr>
        <w:t xml:space="preserve"> Comments must be copied to a document and stored on the IMR.</w:t>
      </w:r>
    </w:p>
    <w:p w:rsidR="00B24D97" w:rsidRPr="00D64309" w:rsidRDefault="00B24D97" w:rsidP="009B13FA">
      <w:pPr>
        <w:pStyle w:val="Heading2"/>
        <w:rPr>
          <w:rFonts w:cs="Arial"/>
        </w:rPr>
      </w:pPr>
      <w:bookmarkStart w:id="403" w:name="_Toc134427331"/>
      <w:bookmarkStart w:id="404" w:name="_Toc142277112"/>
      <w:bookmarkStart w:id="405" w:name="_Toc389214890"/>
      <w:bookmarkStart w:id="406" w:name="_Toc396989202"/>
      <w:r w:rsidRPr="00D64309">
        <w:rPr>
          <w:rFonts w:cs="Arial"/>
        </w:rPr>
        <w:t>Blocks</w:t>
      </w:r>
      <w:bookmarkEnd w:id="403"/>
      <w:bookmarkEnd w:id="404"/>
      <w:bookmarkEnd w:id="405"/>
      <w:bookmarkEnd w:id="406"/>
    </w:p>
    <w:p w:rsidR="00B24D97" w:rsidRPr="00D64309" w:rsidRDefault="00B24D97" w:rsidP="00B52631">
      <w:pPr>
        <w:rPr>
          <w:rFonts w:cs="Arial"/>
        </w:rPr>
      </w:pPr>
      <w:r w:rsidRPr="00D64309">
        <w:rPr>
          <w:rFonts w:cs="Arial"/>
        </w:rPr>
        <w:t>Blocks are those circumstances where multiple losses are advised under a single UCR. These continue to be supported by ECF.</w:t>
      </w:r>
    </w:p>
    <w:p w:rsidR="00B24D97" w:rsidRPr="00391570" w:rsidRDefault="00B24D97" w:rsidP="009B13FA">
      <w:pPr>
        <w:pStyle w:val="Heading2"/>
        <w:rPr>
          <w:rFonts w:cs="Arial"/>
        </w:rPr>
      </w:pPr>
      <w:bookmarkStart w:id="407" w:name="UnsignedRisks"/>
      <w:bookmarkStart w:id="408" w:name="_Toc389214891"/>
      <w:bookmarkStart w:id="409" w:name="_Toc396989203"/>
      <w:bookmarkEnd w:id="407"/>
      <w:r w:rsidRPr="00391570">
        <w:rPr>
          <w:rFonts w:cs="Arial"/>
        </w:rPr>
        <w:t>Claims Seen But Not Entered By XCS</w:t>
      </w:r>
      <w:bookmarkEnd w:id="408"/>
      <w:bookmarkEnd w:id="409"/>
      <w:r w:rsidR="00D01C38" w:rsidRPr="00391570">
        <w:rPr>
          <w:rFonts w:cs="Arial"/>
        </w:rPr>
        <w:t xml:space="preserve"> </w:t>
      </w:r>
    </w:p>
    <w:p w:rsidR="00B24D97" w:rsidRPr="000115A1" w:rsidRDefault="00B24D97" w:rsidP="00441219">
      <w:pPr>
        <w:rPr>
          <w:rFonts w:cs="Arial"/>
        </w:rPr>
      </w:pPr>
      <w:r w:rsidRPr="000115A1">
        <w:rPr>
          <w:rFonts w:cs="Arial"/>
        </w:rPr>
        <w:t>The following applies to existing paper files or notifications that have NOT previously been entered by XCS (i.e. there is no associated Xchanging CLASS record). These are not legacy claims and can be entered onto ECF, subject to the terms detailed below.</w:t>
      </w:r>
    </w:p>
    <w:p w:rsidR="00B24D97" w:rsidRPr="000115A1" w:rsidRDefault="00B24D97" w:rsidP="00441219">
      <w:pPr>
        <w:rPr>
          <w:rFonts w:cs="Arial"/>
        </w:rPr>
      </w:pPr>
      <w:r w:rsidRPr="000115A1">
        <w:rPr>
          <w:rFonts w:cs="Arial"/>
        </w:rPr>
        <w:t>Scenarios include but are not limited to:</w:t>
      </w:r>
    </w:p>
    <w:p w:rsidR="00B24D97" w:rsidRPr="000115A1" w:rsidRDefault="00B24D97" w:rsidP="00441219">
      <w:pPr>
        <w:numPr>
          <w:ilvl w:val="0"/>
          <w:numId w:val="43"/>
        </w:numPr>
        <w:spacing w:after="0"/>
        <w:jc w:val="left"/>
        <w:rPr>
          <w:rFonts w:cs="Arial"/>
        </w:rPr>
      </w:pPr>
      <w:r w:rsidRPr="000115A1">
        <w:rPr>
          <w:rFonts w:cs="Arial"/>
        </w:rPr>
        <w:t>Claims advised on unsigned risks that have subsequently been signed.</w:t>
      </w:r>
    </w:p>
    <w:p w:rsidR="00B24D97" w:rsidRPr="00391570" w:rsidRDefault="00B24D97" w:rsidP="00441219">
      <w:pPr>
        <w:numPr>
          <w:ilvl w:val="0"/>
          <w:numId w:val="43"/>
        </w:numPr>
        <w:spacing w:after="0"/>
        <w:jc w:val="left"/>
        <w:rPr>
          <w:rFonts w:cs="Arial"/>
        </w:rPr>
      </w:pPr>
      <w:r w:rsidRPr="009B13FA">
        <w:rPr>
          <w:rFonts w:cs="Arial"/>
        </w:rPr>
        <w:t xml:space="preserve">Precautionary advices which have </w:t>
      </w:r>
      <w:r w:rsidR="00170979" w:rsidRPr="00391570">
        <w:rPr>
          <w:rFonts w:cs="Arial"/>
        </w:rPr>
        <w:t>been seen by the Leader</w:t>
      </w:r>
      <w:r w:rsidRPr="00391570">
        <w:rPr>
          <w:rFonts w:cs="Arial"/>
        </w:rPr>
        <w:t>, but NOT entered, by XCS.</w:t>
      </w:r>
    </w:p>
    <w:p w:rsidR="00B24D97" w:rsidRPr="00391570" w:rsidRDefault="00B24D97" w:rsidP="00982AAE">
      <w:pPr>
        <w:numPr>
          <w:ilvl w:val="0"/>
          <w:numId w:val="43"/>
        </w:numPr>
        <w:spacing w:after="0"/>
        <w:jc w:val="left"/>
        <w:rPr>
          <w:rFonts w:cs="Arial"/>
        </w:rPr>
      </w:pPr>
      <w:r w:rsidRPr="00391570">
        <w:rPr>
          <w:rFonts w:cs="Arial"/>
        </w:rPr>
        <w:t>Urgent first advices or initial notifications that have been seen by the Leader, and possibly had an expert appointed, but yet to be entered by XCS.</w:t>
      </w:r>
    </w:p>
    <w:p w:rsidR="00B24D97" w:rsidRPr="00391570" w:rsidRDefault="00B24D97" w:rsidP="00982AAE">
      <w:pPr>
        <w:spacing w:after="0"/>
        <w:jc w:val="left"/>
        <w:rPr>
          <w:rFonts w:cs="Arial"/>
        </w:rPr>
      </w:pPr>
    </w:p>
    <w:p w:rsidR="00B24D97" w:rsidRPr="00391570" w:rsidRDefault="00B24D97" w:rsidP="00441219">
      <w:pPr>
        <w:rPr>
          <w:rFonts w:cs="Arial"/>
        </w:rPr>
      </w:pPr>
      <w:r w:rsidRPr="00391570">
        <w:rPr>
          <w:rFonts w:cs="Arial"/>
        </w:rPr>
        <w:t>In these and similar cases, the following Terms of Engagement apply:</w:t>
      </w:r>
    </w:p>
    <w:p w:rsidR="00B24D97" w:rsidRPr="00391570" w:rsidRDefault="00B24D97" w:rsidP="00441219">
      <w:pPr>
        <w:numPr>
          <w:ilvl w:val="0"/>
          <w:numId w:val="42"/>
        </w:numPr>
        <w:spacing w:after="0"/>
        <w:jc w:val="left"/>
        <w:rPr>
          <w:rFonts w:cs="Arial"/>
        </w:rPr>
      </w:pPr>
      <w:r w:rsidRPr="00391570">
        <w:rPr>
          <w:rFonts w:cs="Arial"/>
        </w:rPr>
        <w:t>Confirmation from the Broker that the claim has not previously been entered onto XCS CLASS.</w:t>
      </w:r>
    </w:p>
    <w:p w:rsidR="00B24D97" w:rsidRPr="00391570" w:rsidRDefault="00B24D97" w:rsidP="00441219">
      <w:pPr>
        <w:numPr>
          <w:ilvl w:val="0"/>
          <w:numId w:val="42"/>
        </w:numPr>
        <w:spacing w:after="0"/>
        <w:jc w:val="left"/>
        <w:rPr>
          <w:rFonts w:cs="Arial"/>
        </w:rPr>
      </w:pPr>
      <w:r w:rsidRPr="00391570">
        <w:rPr>
          <w:rFonts w:cs="Arial"/>
        </w:rPr>
        <w:t>Confirmation from the Leader, and 2nd Leader if applicable, that is appropriate to transfer to ECF, and therefore any potential duplicate entry is managed.</w:t>
      </w:r>
    </w:p>
    <w:p w:rsidR="00B24D97" w:rsidRPr="00391570" w:rsidRDefault="00B24D97" w:rsidP="00441219">
      <w:pPr>
        <w:numPr>
          <w:ilvl w:val="0"/>
          <w:numId w:val="42"/>
        </w:numPr>
        <w:spacing w:after="0"/>
        <w:jc w:val="left"/>
        <w:rPr>
          <w:rFonts w:cs="Arial"/>
        </w:rPr>
      </w:pPr>
      <w:r w:rsidRPr="00391570">
        <w:rPr>
          <w:rFonts w:cs="Arial"/>
        </w:rPr>
        <w:t xml:space="preserve">When transferring to ECF, </w:t>
      </w:r>
      <w:r w:rsidRPr="00A37229">
        <w:rPr>
          <w:rFonts w:cs="Arial"/>
          <w:b/>
          <w:u w:val="single"/>
        </w:rPr>
        <w:t>all</w:t>
      </w:r>
      <w:r w:rsidRPr="00391570">
        <w:rPr>
          <w:rFonts w:cs="Arial"/>
        </w:rPr>
        <w:t xml:space="preserve"> documents are required, including all underwriter and XCS scratches, to be scanned onto the repository under the relevant UMR/UCR.</w:t>
      </w:r>
    </w:p>
    <w:p w:rsidR="00B24D97" w:rsidRPr="00391570" w:rsidRDefault="00B24D97" w:rsidP="00441219">
      <w:pPr>
        <w:numPr>
          <w:ilvl w:val="0"/>
          <w:numId w:val="42"/>
        </w:numPr>
        <w:spacing w:after="0"/>
        <w:jc w:val="left"/>
        <w:rPr>
          <w:rFonts w:cs="Arial"/>
        </w:rPr>
      </w:pPr>
      <w:r w:rsidRPr="00391570">
        <w:rPr>
          <w:rFonts w:cs="Arial"/>
        </w:rPr>
        <w:t>In most circumstances the XCS scratch would display the words N/E (not entered), if in doubt seek clarification from XCS.</w:t>
      </w:r>
    </w:p>
    <w:p w:rsidR="00B24D97" w:rsidRPr="00391570" w:rsidRDefault="00B24D97" w:rsidP="00441219">
      <w:pPr>
        <w:numPr>
          <w:ilvl w:val="0"/>
          <w:numId w:val="42"/>
        </w:numPr>
        <w:spacing w:after="0"/>
        <w:jc w:val="left"/>
        <w:rPr>
          <w:rFonts w:cs="Arial"/>
        </w:rPr>
      </w:pPr>
      <w:r w:rsidRPr="00391570">
        <w:rPr>
          <w:rFonts w:cs="Arial"/>
        </w:rPr>
        <w:t>In the broker narrative of CLASS please enter the words 'Previously advised via paper and not entered by XCS'.</w:t>
      </w:r>
      <w:r w:rsidR="00A37229">
        <w:rPr>
          <w:rFonts w:cs="Arial"/>
        </w:rPr>
        <w:t xml:space="preserve"> In addition to appropriate narrative to support the notification.</w:t>
      </w:r>
    </w:p>
    <w:p w:rsidR="00B24D97" w:rsidRPr="00391570" w:rsidRDefault="00B24D97" w:rsidP="00982AAE">
      <w:pPr>
        <w:numPr>
          <w:ilvl w:val="0"/>
          <w:numId w:val="42"/>
        </w:numPr>
        <w:spacing w:after="0"/>
        <w:jc w:val="left"/>
        <w:rPr>
          <w:rFonts w:cs="Arial"/>
        </w:rPr>
      </w:pPr>
      <w:r w:rsidRPr="00391570">
        <w:rPr>
          <w:rFonts w:cs="Arial"/>
        </w:rPr>
        <w:t xml:space="preserve">The ECF advice should </w:t>
      </w:r>
      <w:r w:rsidR="00A37229">
        <w:rPr>
          <w:rFonts w:cs="Arial"/>
        </w:rPr>
        <w:t>be created as soon as possible.</w:t>
      </w:r>
    </w:p>
    <w:p w:rsidR="00B24D97" w:rsidRPr="00391570" w:rsidRDefault="00B24D97" w:rsidP="00982AAE">
      <w:pPr>
        <w:numPr>
          <w:ilvl w:val="0"/>
          <w:numId w:val="42"/>
        </w:numPr>
        <w:spacing w:after="0"/>
        <w:jc w:val="left"/>
        <w:rPr>
          <w:rFonts w:cs="Arial"/>
        </w:rPr>
      </w:pPr>
      <w:r w:rsidRPr="00391570">
        <w:rPr>
          <w:rFonts w:cs="Arial"/>
        </w:rPr>
        <w:t>Issues which relate to these types of claims are dealt with by the ECF User Group.</w:t>
      </w:r>
    </w:p>
    <w:p w:rsidR="00B24D97" w:rsidRPr="00391570" w:rsidRDefault="00B24D97" w:rsidP="00982AAE">
      <w:pPr>
        <w:spacing w:after="0"/>
        <w:jc w:val="left"/>
        <w:rPr>
          <w:rFonts w:cs="Arial"/>
        </w:rPr>
      </w:pPr>
    </w:p>
    <w:p w:rsidR="00B24D97" w:rsidRPr="00391570" w:rsidRDefault="00B24D97" w:rsidP="00441219">
      <w:pPr>
        <w:rPr>
          <w:rFonts w:cs="Arial"/>
        </w:rPr>
      </w:pPr>
      <w:r w:rsidRPr="00391570">
        <w:rPr>
          <w:rFonts w:cs="Arial"/>
        </w:rPr>
        <w:t>Where the broker is unable to positively confirm that no CLASS entry exists:</w:t>
      </w:r>
    </w:p>
    <w:p w:rsidR="00B24D97" w:rsidRPr="00391570" w:rsidRDefault="00B24D97" w:rsidP="00441219">
      <w:pPr>
        <w:numPr>
          <w:ilvl w:val="0"/>
          <w:numId w:val="41"/>
        </w:numPr>
        <w:spacing w:after="0"/>
        <w:jc w:val="left"/>
        <w:rPr>
          <w:rFonts w:cs="Arial"/>
        </w:rPr>
      </w:pPr>
      <w:r w:rsidRPr="00391570">
        <w:rPr>
          <w:rFonts w:cs="Arial"/>
        </w:rPr>
        <w:t>The file must contain a full copy of the slip with UMR and signing numbers and dates clearly displayed.</w:t>
      </w:r>
    </w:p>
    <w:p w:rsidR="00B24D97" w:rsidRPr="00391570" w:rsidRDefault="00B24D97" w:rsidP="00441219">
      <w:pPr>
        <w:numPr>
          <w:ilvl w:val="0"/>
          <w:numId w:val="41"/>
        </w:numPr>
        <w:spacing w:after="0"/>
        <w:jc w:val="left"/>
        <w:rPr>
          <w:rFonts w:cs="Arial"/>
        </w:rPr>
      </w:pPr>
      <w:r w:rsidRPr="00391570">
        <w:rPr>
          <w:rFonts w:cs="Arial"/>
        </w:rPr>
        <w:t>If the risk has been signed via A &amp; S, the broker must print off the UMR screen from the repository showing the applicable signings.</w:t>
      </w:r>
    </w:p>
    <w:p w:rsidR="001B62EB" w:rsidRDefault="00B24D97" w:rsidP="001B62EB">
      <w:pPr>
        <w:numPr>
          <w:ilvl w:val="0"/>
          <w:numId w:val="41"/>
        </w:numPr>
        <w:spacing w:after="0"/>
        <w:jc w:val="left"/>
        <w:rPr>
          <w:rFonts w:cs="Arial"/>
        </w:rPr>
      </w:pPr>
      <w:r w:rsidRPr="00391570">
        <w:rPr>
          <w:rFonts w:cs="Arial"/>
        </w:rPr>
        <w:t>The Broker must indicate the signing that they believe is applicable to the claim being presented.</w:t>
      </w:r>
    </w:p>
    <w:p w:rsidR="00B24D97" w:rsidRPr="001B62EB" w:rsidRDefault="00275F2D" w:rsidP="001B62EB">
      <w:pPr>
        <w:pStyle w:val="Heading1"/>
      </w:pPr>
      <w:bookmarkStart w:id="410" w:name="_Toc389214892"/>
      <w:bookmarkStart w:id="411" w:name="_Toc396989204"/>
      <w:r>
        <w:rPr>
          <w:caps w:val="0"/>
        </w:rPr>
        <w:lastRenderedPageBreak/>
        <w:t>L</w:t>
      </w:r>
      <w:r w:rsidRPr="001B62EB">
        <w:rPr>
          <w:caps w:val="0"/>
        </w:rPr>
        <w:t>egacy claims &amp; scanning process</w:t>
      </w:r>
      <w:bookmarkEnd w:id="410"/>
      <w:bookmarkEnd w:id="411"/>
      <w:r w:rsidRPr="001B62EB">
        <w:rPr>
          <w:caps w:val="0"/>
        </w:rPr>
        <w:t xml:space="preserve"> </w:t>
      </w:r>
    </w:p>
    <w:p w:rsidR="00B24D97" w:rsidRPr="002D7E23" w:rsidRDefault="004C3649" w:rsidP="00B85E26">
      <w:pPr>
        <w:autoSpaceDE w:val="0"/>
        <w:autoSpaceDN w:val="0"/>
        <w:adjustRightInd w:val="0"/>
        <w:rPr>
          <w:rFonts w:cs="Arial"/>
          <w:color w:val="000000"/>
          <w:lang w:eastAsia="en-GB"/>
        </w:rPr>
      </w:pPr>
      <w:r w:rsidRPr="002D7E23">
        <w:rPr>
          <w:rFonts w:cs="Arial"/>
          <w:color w:val="000000"/>
          <w:lang w:eastAsia="en-GB"/>
        </w:rPr>
        <w:t xml:space="preserve">In May 2008 as part of the ECF Release 7A, the ECF system was amended to include a new value in the ECF indicator field to allow brokers to flag new ECF claims that related to existing paper files (see Xchanging bulletin dated 20 May 2008 reference 2008/065). It was not possible to implement the use of this indicator for the Lloyd's market until guidelines had been agreed for the introduction of legacy claims onto ECF and changes had been made to the XCS internal workflow system. </w:t>
      </w:r>
    </w:p>
    <w:p w:rsidR="002D7E23" w:rsidRDefault="002D7E23" w:rsidP="00B85E26">
      <w:pPr>
        <w:autoSpaceDE w:val="0"/>
        <w:autoSpaceDN w:val="0"/>
        <w:adjustRightInd w:val="0"/>
      </w:pPr>
      <w:r>
        <w:t>In May 2014 as part of the CTP Legacy project and Paper to ECF Scanning Service was introduced  which is free to use and will convert paper claim files to ECF in a user-friendly format involving contracted 3</w:t>
      </w:r>
      <w:r w:rsidRPr="002D7E23">
        <w:rPr>
          <w:vertAlign w:val="superscript"/>
        </w:rPr>
        <w:t>rd</w:t>
      </w:r>
      <w:r>
        <w:t xml:space="preserve"> parties in a scanning or delegated role and can be used by the MA or Broker. </w:t>
      </w:r>
    </w:p>
    <w:p w:rsidR="002D7E23" w:rsidRPr="002D7E23" w:rsidRDefault="002D7E23" w:rsidP="002D7E23">
      <w:pPr>
        <w:rPr>
          <w:rFonts w:cs="Arial"/>
          <w:b/>
          <w:u w:val="single"/>
        </w:rPr>
      </w:pPr>
      <w:r w:rsidRPr="002D7E23">
        <w:rPr>
          <w:rFonts w:cs="Arial"/>
          <w:bCs/>
        </w:rPr>
        <w:t xml:space="preserve">The main differences to the process are that the Managing Agent and XCS identify the suitability of the claim for Legacy and </w:t>
      </w:r>
      <w:r w:rsidRPr="002D7E23">
        <w:rPr>
          <w:rFonts w:cs="Arial"/>
          <w:b/>
          <w:u w:val="single"/>
        </w:rPr>
        <w:t>ensure that the Legacy transition is not carried out on live post</w:t>
      </w:r>
      <w:r>
        <w:rPr>
          <w:rFonts w:cs="Arial"/>
          <w:b/>
          <w:u w:val="single"/>
        </w:rPr>
        <w:t>.</w:t>
      </w:r>
    </w:p>
    <w:p w:rsidR="002D7E23" w:rsidRDefault="002D7E23" w:rsidP="00B85E26">
      <w:pPr>
        <w:autoSpaceDE w:val="0"/>
        <w:autoSpaceDN w:val="0"/>
        <w:adjustRightInd w:val="0"/>
      </w:pPr>
      <w:r>
        <w:t>To use the service and understand the process and key contacts, please refer to the attached Lloyd’s scanning guide, quick reference and Paper to ECF pro-forma:</w:t>
      </w:r>
    </w:p>
    <w:p w:rsidR="002D7E23" w:rsidRDefault="002D7E23" w:rsidP="00B85E26">
      <w:pPr>
        <w:autoSpaceDE w:val="0"/>
        <w:autoSpaceDN w:val="0"/>
        <w:adjustRightInd w:val="0"/>
      </w:pPr>
      <w:r>
        <w:object w:dxaOrig="1550" w:dyaOrig="991">
          <v:shape id="_x0000_i1026" type="#_x0000_t75" style="width:77.25pt;height:49.5pt" o:ole="">
            <v:imagedata r:id="rId33" o:title=""/>
          </v:shape>
          <o:OLEObject Type="Embed" ProgID="AcroExch.Document.7" ShapeID="_x0000_i1026" DrawAspect="Icon" ObjectID="_1478348839" r:id="rId34"/>
        </w:object>
      </w:r>
      <w:r>
        <w:object w:dxaOrig="1550" w:dyaOrig="991">
          <v:shape id="_x0000_i1027" type="#_x0000_t75" style="width:77.25pt;height:49.5pt" o:ole="">
            <v:imagedata r:id="rId35" o:title=""/>
          </v:shape>
          <o:OLEObject Type="Embed" ProgID="AcroExch.Document.7" ShapeID="_x0000_i1027" DrawAspect="Icon" ObjectID="_1478348840" r:id="rId36"/>
        </w:object>
      </w:r>
      <w:r>
        <w:object w:dxaOrig="1550" w:dyaOrig="991">
          <v:shape id="_x0000_i1028" type="#_x0000_t75" style="width:77.25pt;height:49.5pt" o:ole="">
            <v:imagedata r:id="rId37" o:title=""/>
          </v:shape>
          <o:OLEObject Type="Embed" ProgID="AcroExch.Document.7" ShapeID="_x0000_i1028" DrawAspect="Icon" ObjectID="_1478348841" r:id="rId38"/>
        </w:object>
      </w:r>
    </w:p>
    <w:p w:rsidR="00230F2B" w:rsidRPr="001B62EB" w:rsidRDefault="009B0864" w:rsidP="009B0864">
      <w:pPr>
        <w:pStyle w:val="Heading3"/>
      </w:pPr>
      <w:bookmarkStart w:id="412" w:name="_Toc396989205"/>
      <w:r>
        <w:t>P</w:t>
      </w:r>
      <w:r w:rsidRPr="001B62EB">
        <w:t xml:space="preserve">aper to </w:t>
      </w:r>
      <w:r>
        <w:t>ECF L</w:t>
      </w:r>
      <w:r w:rsidRPr="001B62EB">
        <w:t>egacy process for singletons</w:t>
      </w:r>
      <w:bookmarkEnd w:id="412"/>
    </w:p>
    <w:p w:rsidR="00887E54" w:rsidRPr="00E2587F" w:rsidRDefault="00230F2B" w:rsidP="00BC7FE5">
      <w:pPr>
        <w:rPr>
          <w:rFonts w:cs="Arial"/>
          <w:color w:val="0000FF"/>
          <w:u w:val="single"/>
        </w:rPr>
      </w:pPr>
      <w:r w:rsidRPr="00887E54">
        <w:rPr>
          <w:rFonts w:cs="Arial"/>
          <w:bCs/>
        </w:rPr>
        <w:t xml:space="preserve">The step by step guide </w:t>
      </w:r>
      <w:r w:rsidR="00391570" w:rsidRPr="00887E54">
        <w:rPr>
          <w:rFonts w:cs="Arial"/>
          <w:bCs/>
        </w:rPr>
        <w:t xml:space="preserve">attached within the link </w:t>
      </w:r>
      <w:r w:rsidRPr="00887E54">
        <w:rPr>
          <w:rFonts w:cs="Arial"/>
          <w:bCs/>
        </w:rPr>
        <w:t>below details the</w:t>
      </w:r>
      <w:r w:rsidR="00391570" w:rsidRPr="00887E54">
        <w:rPr>
          <w:rFonts w:cs="Arial"/>
          <w:bCs/>
        </w:rPr>
        <w:t xml:space="preserve"> </w:t>
      </w:r>
      <w:r w:rsidRPr="00887E54">
        <w:rPr>
          <w:rFonts w:cs="Arial"/>
          <w:bCs/>
        </w:rPr>
        <w:t xml:space="preserve">process </w:t>
      </w:r>
      <w:r w:rsidR="00391570" w:rsidRPr="00887E54">
        <w:rPr>
          <w:rFonts w:cs="Arial"/>
          <w:bCs/>
        </w:rPr>
        <w:t>for</w:t>
      </w:r>
      <w:r w:rsidRPr="00887E54">
        <w:rPr>
          <w:rFonts w:cs="Arial"/>
          <w:bCs/>
        </w:rPr>
        <w:t xml:space="preserve"> paper</w:t>
      </w:r>
      <w:r w:rsidR="00391570" w:rsidRPr="00887E54">
        <w:rPr>
          <w:rFonts w:cs="Arial"/>
          <w:bCs/>
        </w:rPr>
        <w:t xml:space="preserve"> to ECF conversion for singleton risks.</w:t>
      </w:r>
      <w:r w:rsidR="00E2587F">
        <w:rPr>
          <w:rFonts w:cs="Arial"/>
          <w:bCs/>
        </w:rPr>
        <w:t xml:space="preserve"> </w:t>
      </w:r>
      <w:hyperlink r:id="rId39" w:history="1">
        <w:r w:rsidR="00E2587F" w:rsidRPr="005F63E8">
          <w:rPr>
            <w:rStyle w:val="Hyperlink"/>
            <w:rFonts w:cs="Arial"/>
          </w:rPr>
          <w:t>http://www.ecfinfo.eu/how-to/best-practice/</w:t>
        </w:r>
      </w:hyperlink>
    </w:p>
    <w:p w:rsidR="00391570" w:rsidRPr="00887E54" w:rsidRDefault="00391570" w:rsidP="00BC7FE5">
      <w:pPr>
        <w:rPr>
          <w:rFonts w:cs="Arial"/>
          <w:bCs/>
        </w:rPr>
      </w:pPr>
      <w:r w:rsidRPr="00887E54">
        <w:rPr>
          <w:rFonts w:cs="Arial"/>
          <w:bCs/>
        </w:rPr>
        <w:t>Please refer to the above legacy scanning process and service for all other paper to ECF conversions.</w:t>
      </w:r>
      <w:r w:rsidR="00E2587F">
        <w:rPr>
          <w:rFonts w:cs="Arial"/>
          <w:bCs/>
        </w:rPr>
        <w:t xml:space="preserve"> </w:t>
      </w:r>
      <w:r w:rsidRPr="00887E54">
        <w:rPr>
          <w:rFonts w:cs="Arial"/>
          <w:bCs/>
        </w:rPr>
        <w:t>Please consider the following prior to conversion:</w:t>
      </w:r>
    </w:p>
    <w:p w:rsidR="00391570" w:rsidRPr="00887E54" w:rsidRDefault="00391570" w:rsidP="00391570">
      <w:pPr>
        <w:numPr>
          <w:ilvl w:val="0"/>
          <w:numId w:val="68"/>
        </w:numPr>
        <w:spacing w:after="0"/>
        <w:rPr>
          <w:rFonts w:cs="Arial"/>
        </w:rPr>
      </w:pPr>
      <w:r w:rsidRPr="00887E54">
        <w:rPr>
          <w:rFonts w:cs="Arial"/>
        </w:rPr>
        <w:t xml:space="preserve">Any current ‘Out of Scope’ ECF items </w:t>
      </w:r>
    </w:p>
    <w:p w:rsidR="00391570" w:rsidRPr="00887E54" w:rsidRDefault="00391570" w:rsidP="00391570">
      <w:pPr>
        <w:numPr>
          <w:ilvl w:val="0"/>
          <w:numId w:val="68"/>
        </w:numPr>
        <w:spacing w:after="0"/>
        <w:rPr>
          <w:rFonts w:cs="Arial"/>
        </w:rPr>
      </w:pPr>
      <w:r w:rsidRPr="00887E54">
        <w:rPr>
          <w:rFonts w:cs="Arial"/>
        </w:rPr>
        <w:t xml:space="preserve">Claims that are likely to close imminently </w:t>
      </w:r>
    </w:p>
    <w:p w:rsidR="00391570" w:rsidRPr="00887E54" w:rsidRDefault="00391570" w:rsidP="00391570">
      <w:pPr>
        <w:numPr>
          <w:ilvl w:val="0"/>
          <w:numId w:val="68"/>
        </w:numPr>
        <w:spacing w:after="0"/>
        <w:rPr>
          <w:rFonts w:cs="Arial"/>
        </w:rPr>
      </w:pPr>
      <w:r w:rsidRPr="00887E54">
        <w:rPr>
          <w:rFonts w:cs="Arial"/>
        </w:rPr>
        <w:t>Claims where final fees are being collected</w:t>
      </w:r>
    </w:p>
    <w:p w:rsidR="00391570" w:rsidRPr="00887E54" w:rsidRDefault="00391570" w:rsidP="00391570">
      <w:pPr>
        <w:numPr>
          <w:ilvl w:val="0"/>
          <w:numId w:val="68"/>
        </w:numPr>
        <w:spacing w:after="0"/>
        <w:rPr>
          <w:rFonts w:cs="Arial"/>
        </w:rPr>
      </w:pPr>
      <w:r w:rsidRPr="00887E54">
        <w:rPr>
          <w:rFonts w:cs="Arial"/>
        </w:rPr>
        <w:t>Current or imminent commutation discussions</w:t>
      </w:r>
    </w:p>
    <w:p w:rsidR="00391570" w:rsidRPr="00887E54" w:rsidRDefault="00391570" w:rsidP="00391570">
      <w:pPr>
        <w:numPr>
          <w:ilvl w:val="0"/>
          <w:numId w:val="68"/>
        </w:numPr>
        <w:spacing w:after="0"/>
        <w:rPr>
          <w:rFonts w:cs="Arial"/>
        </w:rPr>
      </w:pPr>
      <w:r w:rsidRPr="00887E54">
        <w:rPr>
          <w:rFonts w:cs="Arial"/>
          <w:bCs/>
        </w:rPr>
        <w:t>Individual files that form part of a block/aggregate</w:t>
      </w:r>
    </w:p>
    <w:p w:rsidR="00B24D97" w:rsidRPr="00E2587F" w:rsidRDefault="004C3649" w:rsidP="009B0864">
      <w:pPr>
        <w:pStyle w:val="Heading4"/>
      </w:pPr>
      <w:bookmarkStart w:id="413" w:name="_Toc389214895"/>
      <w:r w:rsidRPr="00E2587F">
        <w:t>Legacy claims submitted with a ‘Y’ indicator</w:t>
      </w:r>
      <w:bookmarkEnd w:id="413"/>
    </w:p>
    <w:p w:rsidR="00B24D97" w:rsidRDefault="004C3649" w:rsidP="00DA2D7F">
      <w:pPr>
        <w:rPr>
          <w:rFonts w:cs="Arial"/>
        </w:rPr>
      </w:pPr>
      <w:r w:rsidRPr="00687624">
        <w:rPr>
          <w:rFonts w:cs="Arial"/>
        </w:rPr>
        <w:t xml:space="preserve">If a broker accidentally submits a Legacy claim in ECF, with a ‘Y’ ECF indicator instead of a ‘T’, there is a high risk that duplicate claims records could be created in the XCS CLASS system, which will cause over-reserving and in the worst case possible duplication of payments. These situations should ideally be spotted and the ECF entries rejected by the leader. However, if they get as far as XCS, and XCS detect that a file in the regular ECF Inbox is actually a Legacy claim, they will reject the ECF transaction back to the Broker, who will need to delete the erroneous transaction and create a new one. The same UMR &amp; UCR can be used going forwards but the transaction reference for this new first sequence must be different from that initially used. The scanned claim file will also need to be attached to the new transaction. </w:t>
      </w:r>
    </w:p>
    <w:p w:rsidR="00E2587F" w:rsidRPr="00E2587F" w:rsidRDefault="00E2587F" w:rsidP="009B0864">
      <w:pPr>
        <w:pStyle w:val="Heading4"/>
      </w:pPr>
      <w:r>
        <w:t xml:space="preserve">Non- </w:t>
      </w:r>
      <w:r w:rsidRPr="00687624">
        <w:t>L</w:t>
      </w:r>
      <w:r>
        <w:t>egacy claims submitted with a ‘T</w:t>
      </w:r>
      <w:r w:rsidRPr="00687624">
        <w:t>’ indicator</w:t>
      </w:r>
    </w:p>
    <w:p w:rsidR="00E2587F" w:rsidRPr="00E2587F" w:rsidRDefault="00E2587F" w:rsidP="00E2587F">
      <w:pPr>
        <w:rPr>
          <w:rFonts w:cs="Arial"/>
        </w:rPr>
      </w:pPr>
      <w:r w:rsidRPr="00E2587F">
        <w:rPr>
          <w:rFonts w:cs="Arial"/>
        </w:rPr>
        <w:t xml:space="preserve">Where a new ECF UCR TR is submitted by a broker containing a ‘T’ indicator by mistake, the claim will be treated as a Legacy claim and will be routed into the XCS Legacy in basket. Such claims would not be reviewed by XCS pursuant to the usual 5 day Service Level Agreement, therefore the onus is on the broker to implement controls in their own process to ensure that such instances are avoided wherever possible. If such a transaction is released by the Leader in error and it is spotted by XCS, the Broker will need to delete the erroneous transaction and create a new one. The same UMR &amp; UCR can be used going forwards but the transaction reference for this new first sequence must be different from that initially used. The scanned claim file will also need to be attached to the new transaction. </w:t>
      </w:r>
    </w:p>
    <w:p w:rsidR="00B24D97" w:rsidRPr="00D64309" w:rsidRDefault="00B24D97" w:rsidP="00B65455">
      <w:pPr>
        <w:pStyle w:val="Heading1"/>
      </w:pPr>
      <w:bookmarkStart w:id="414" w:name="_Toc389214898"/>
      <w:bookmarkStart w:id="415" w:name="_Toc396989206"/>
      <w:r w:rsidRPr="00D64309">
        <w:lastRenderedPageBreak/>
        <w:t>Other exceptions</w:t>
      </w:r>
      <w:bookmarkEnd w:id="414"/>
      <w:bookmarkEnd w:id="415"/>
    </w:p>
    <w:p w:rsidR="00B24D97" w:rsidRPr="00B65455" w:rsidRDefault="00B24D97" w:rsidP="00B65455">
      <w:pPr>
        <w:pStyle w:val="Heading2"/>
      </w:pPr>
      <w:bookmarkStart w:id="416" w:name="_Toc389214899"/>
      <w:bookmarkStart w:id="417" w:name="_Toc396989207"/>
      <w:r w:rsidRPr="00B65455">
        <w:t>Lloyd’s Consortium Syndicates</w:t>
      </w:r>
      <w:bookmarkEnd w:id="416"/>
      <w:bookmarkEnd w:id="417"/>
    </w:p>
    <w:p w:rsidR="00B24D97" w:rsidRPr="00D64309" w:rsidRDefault="00B24D97" w:rsidP="00763590">
      <w:pPr>
        <w:rPr>
          <w:rFonts w:cs="Arial"/>
        </w:rPr>
      </w:pPr>
      <w:r w:rsidRPr="00D64309">
        <w:rPr>
          <w:rFonts w:cs="Arial"/>
        </w:rPr>
        <w:t>Where the Lloyds bureau lead is a consortium market syndicate, particular action is required in respect to the class transaction.</w:t>
      </w:r>
    </w:p>
    <w:p w:rsidR="00B24D97" w:rsidRDefault="00B24D97" w:rsidP="00763590">
      <w:pPr>
        <w:rPr>
          <w:rFonts w:cs="Arial"/>
        </w:rPr>
      </w:pPr>
      <w:r w:rsidRPr="00D64309">
        <w:rPr>
          <w:rFonts w:cs="Arial"/>
        </w:rPr>
        <w:t>The lead Lloyds syndicate, as entered into the class message, is the lead syndicate at the true risk bearer level, not the consortium syndicate number.   The correct lead syndicate and signing number will allow the correct creation of Lloyd’s market security.</w:t>
      </w:r>
    </w:p>
    <w:p w:rsidR="00A27626" w:rsidRPr="00D64309" w:rsidRDefault="00A27626" w:rsidP="00763590">
      <w:pPr>
        <w:rPr>
          <w:rFonts w:cs="Arial"/>
        </w:rPr>
      </w:pPr>
      <w:r>
        <w:rPr>
          <w:rFonts w:cs="Arial"/>
        </w:rPr>
        <w:t>Where a syndicate is part of a consortium the relating consortium number will be listed within ECF2 claims agreement screens. When a consortium is present it will affect the agreement party roles and the decision of the lead. The consortium number will allow the correct party to be selected by ticking the relating syndicate upon claim adjustment.</w:t>
      </w:r>
    </w:p>
    <w:p w:rsidR="00B24D97" w:rsidRPr="00D64309" w:rsidRDefault="00B24D97" w:rsidP="00B65455">
      <w:pPr>
        <w:pStyle w:val="Heading2"/>
      </w:pPr>
      <w:bookmarkStart w:id="418" w:name="_Toc389214900"/>
      <w:bookmarkStart w:id="419" w:name="_Toc396989208"/>
      <w:r w:rsidRPr="00D64309">
        <w:t>IMR Security Model enhancements</w:t>
      </w:r>
      <w:bookmarkEnd w:id="418"/>
      <w:bookmarkEnd w:id="419"/>
    </w:p>
    <w:p w:rsidR="00B24D97" w:rsidRPr="00D64309" w:rsidRDefault="00B24D97" w:rsidP="00EB69CB">
      <w:pPr>
        <w:rPr>
          <w:rFonts w:cs="Arial"/>
        </w:rPr>
      </w:pPr>
      <w:r w:rsidRPr="00D64309">
        <w:rPr>
          <w:rFonts w:cs="Arial"/>
        </w:rPr>
        <w:t>Access to documents within the IMR is permitted or restricted through the application of a security policy in the form of an Access Control List (ACL). The original Security Model on the IMR accommodated the access control requirements for standard premium and claim submissions (ie, Original broker and Original carriers access rights).</w:t>
      </w:r>
    </w:p>
    <w:p w:rsidR="00B24D97" w:rsidRPr="00D64309" w:rsidRDefault="00B24D97" w:rsidP="00EB69CB">
      <w:pPr>
        <w:rPr>
          <w:rFonts w:cs="Arial"/>
        </w:rPr>
      </w:pPr>
      <w:r w:rsidRPr="00D64309">
        <w:rPr>
          <w:rFonts w:cs="Arial"/>
        </w:rPr>
        <w:t>With effect from 7</w:t>
      </w:r>
      <w:r w:rsidRPr="00D64309">
        <w:rPr>
          <w:rFonts w:cs="Arial"/>
          <w:vertAlign w:val="superscript"/>
        </w:rPr>
        <w:t>th</w:t>
      </w:r>
      <w:r w:rsidRPr="00D64309">
        <w:rPr>
          <w:rFonts w:cs="Arial"/>
        </w:rPr>
        <w:t xml:space="preserve"> December 2009, the Security Model has been enhanced to accommodate ‘exception’ scenarios where access control to folder and document content has more complexity. The ‘exception scenarios are:-</w:t>
      </w:r>
    </w:p>
    <w:p w:rsidR="00B24D97" w:rsidRPr="00E2587F" w:rsidRDefault="00B24D97" w:rsidP="00C0106B">
      <w:pPr>
        <w:pStyle w:val="ListParagraph"/>
        <w:numPr>
          <w:ilvl w:val="0"/>
          <w:numId w:val="122"/>
        </w:numPr>
        <w:rPr>
          <w:rFonts w:ascii="Arial" w:hAnsi="Arial" w:cs="Arial"/>
          <w:sz w:val="20"/>
          <w:szCs w:val="20"/>
        </w:rPr>
      </w:pPr>
      <w:r w:rsidRPr="00E2587F">
        <w:rPr>
          <w:rFonts w:ascii="Arial" w:hAnsi="Arial" w:cs="Arial"/>
          <w:sz w:val="20"/>
          <w:szCs w:val="20"/>
        </w:rPr>
        <w:t>Mid-Term Broker Changes</w:t>
      </w:r>
    </w:p>
    <w:p w:rsidR="00B24D97" w:rsidRPr="00E2587F" w:rsidRDefault="00B24D97" w:rsidP="00C0106B">
      <w:pPr>
        <w:pStyle w:val="ListParagraph"/>
        <w:numPr>
          <w:ilvl w:val="0"/>
          <w:numId w:val="122"/>
        </w:numPr>
        <w:rPr>
          <w:rFonts w:ascii="Arial" w:hAnsi="Arial" w:cs="Arial"/>
          <w:sz w:val="20"/>
          <w:szCs w:val="20"/>
        </w:rPr>
      </w:pPr>
      <w:r w:rsidRPr="00E2587F">
        <w:rPr>
          <w:rFonts w:ascii="Arial" w:hAnsi="Arial" w:cs="Arial"/>
          <w:sz w:val="20"/>
          <w:szCs w:val="20"/>
        </w:rPr>
        <w:t>Mid-Term Market Changes</w:t>
      </w:r>
    </w:p>
    <w:p w:rsidR="00B24D97" w:rsidRPr="00E2587F" w:rsidRDefault="00B24D97" w:rsidP="00C0106B">
      <w:pPr>
        <w:pStyle w:val="ListParagraph"/>
        <w:numPr>
          <w:ilvl w:val="0"/>
          <w:numId w:val="122"/>
        </w:numPr>
        <w:rPr>
          <w:rFonts w:ascii="Arial" w:hAnsi="Arial" w:cs="Arial"/>
          <w:sz w:val="20"/>
          <w:szCs w:val="20"/>
        </w:rPr>
      </w:pPr>
      <w:r w:rsidRPr="00E2587F">
        <w:rPr>
          <w:rFonts w:ascii="Arial" w:hAnsi="Arial" w:cs="Arial"/>
          <w:sz w:val="20"/>
          <w:szCs w:val="20"/>
        </w:rPr>
        <w:t>Third Party Access</w:t>
      </w:r>
    </w:p>
    <w:p w:rsidR="00B24D97" w:rsidRPr="00E2587F" w:rsidRDefault="00B24D97" w:rsidP="00C0106B">
      <w:pPr>
        <w:pStyle w:val="ListParagraph"/>
        <w:numPr>
          <w:ilvl w:val="0"/>
          <w:numId w:val="122"/>
        </w:numPr>
        <w:rPr>
          <w:rFonts w:ascii="Arial" w:hAnsi="Arial" w:cs="Arial"/>
          <w:sz w:val="20"/>
          <w:szCs w:val="20"/>
        </w:rPr>
      </w:pPr>
      <w:r w:rsidRPr="00E2587F">
        <w:rPr>
          <w:rFonts w:ascii="Arial" w:hAnsi="Arial" w:cs="Arial"/>
          <w:sz w:val="20"/>
          <w:szCs w:val="20"/>
        </w:rPr>
        <w:t>Conflict of Interest</w:t>
      </w:r>
    </w:p>
    <w:p w:rsidR="00B24D97" w:rsidRPr="00E2587F" w:rsidRDefault="00B24D97" w:rsidP="00C0106B">
      <w:pPr>
        <w:pStyle w:val="ListParagraph"/>
        <w:numPr>
          <w:ilvl w:val="0"/>
          <w:numId w:val="122"/>
        </w:numPr>
        <w:rPr>
          <w:rFonts w:ascii="Arial" w:hAnsi="Arial" w:cs="Arial"/>
          <w:sz w:val="20"/>
          <w:szCs w:val="20"/>
        </w:rPr>
      </w:pPr>
      <w:r w:rsidRPr="00E2587F">
        <w:rPr>
          <w:rFonts w:ascii="Arial" w:hAnsi="Arial" w:cs="Arial"/>
          <w:sz w:val="20"/>
          <w:szCs w:val="20"/>
        </w:rPr>
        <w:t>Confidential Terms</w:t>
      </w:r>
    </w:p>
    <w:p w:rsidR="00B24D97" w:rsidRPr="00D64309" w:rsidRDefault="00B24D97" w:rsidP="003460C1">
      <w:pPr>
        <w:rPr>
          <w:rFonts w:cs="Arial"/>
        </w:rPr>
      </w:pPr>
      <w:r w:rsidRPr="00D64309">
        <w:rPr>
          <w:rFonts w:cs="Arial"/>
        </w:rPr>
        <w:t>Other impacted London Market systems have also been enhanced to support the end-to-end business processes for the ‘exception’ scenarios.</w:t>
      </w:r>
    </w:p>
    <w:p w:rsidR="00B24D97" w:rsidRPr="00C0106B" w:rsidRDefault="00B24D97" w:rsidP="00B65455">
      <w:pPr>
        <w:pStyle w:val="Heading2"/>
      </w:pPr>
      <w:bookmarkStart w:id="420" w:name="_Toc253580305"/>
      <w:bookmarkStart w:id="421" w:name="_Toc253755117"/>
      <w:bookmarkStart w:id="422" w:name="_Toc389214901"/>
      <w:bookmarkStart w:id="423" w:name="_Toc396989209"/>
      <w:bookmarkEnd w:id="420"/>
      <w:bookmarkEnd w:id="421"/>
      <w:r w:rsidRPr="00C0106B">
        <w:t>Mid-Term Broker Changes (MTBC)</w:t>
      </w:r>
      <w:bookmarkEnd w:id="422"/>
      <w:bookmarkEnd w:id="423"/>
    </w:p>
    <w:p w:rsidR="00B24D97" w:rsidRPr="00D64309" w:rsidRDefault="00B24D97" w:rsidP="003460C1">
      <w:pPr>
        <w:rPr>
          <w:rFonts w:cs="Arial"/>
        </w:rPr>
      </w:pPr>
      <w:r w:rsidRPr="00D64309">
        <w:rPr>
          <w:rFonts w:cs="Arial"/>
        </w:rPr>
        <w:t>Mid-Term Broker Changes (MTBC) occur where the Broker of Record is replaced mid-way through the term of a contract and replaced by another broker. The types of MTBC are:-</w:t>
      </w:r>
    </w:p>
    <w:p w:rsidR="00B24D97" w:rsidRPr="00C0106B" w:rsidRDefault="00B24D97" w:rsidP="00C0106B">
      <w:pPr>
        <w:pStyle w:val="ListParagraph"/>
        <w:numPr>
          <w:ilvl w:val="0"/>
          <w:numId w:val="121"/>
        </w:numPr>
        <w:rPr>
          <w:rFonts w:ascii="Arial" w:hAnsi="Arial" w:cs="Arial"/>
          <w:sz w:val="20"/>
          <w:szCs w:val="20"/>
        </w:rPr>
      </w:pPr>
      <w:r w:rsidRPr="00C0106B">
        <w:rPr>
          <w:rFonts w:ascii="Arial" w:hAnsi="Arial" w:cs="Arial"/>
          <w:sz w:val="20"/>
          <w:szCs w:val="20"/>
        </w:rPr>
        <w:t>Transfer of individual contract(s)</w:t>
      </w:r>
    </w:p>
    <w:p w:rsidR="00B24D97" w:rsidRPr="00C0106B" w:rsidRDefault="00B24D97" w:rsidP="00C0106B">
      <w:pPr>
        <w:pStyle w:val="ListParagraph"/>
        <w:numPr>
          <w:ilvl w:val="0"/>
          <w:numId w:val="121"/>
        </w:numPr>
        <w:rPr>
          <w:rFonts w:ascii="Arial" w:hAnsi="Arial" w:cs="Arial"/>
          <w:sz w:val="20"/>
          <w:szCs w:val="20"/>
        </w:rPr>
      </w:pPr>
      <w:r w:rsidRPr="00C0106B">
        <w:rPr>
          <w:rFonts w:ascii="Arial" w:hAnsi="Arial" w:cs="Arial"/>
          <w:sz w:val="20"/>
          <w:szCs w:val="20"/>
        </w:rPr>
        <w:t>Broker in run-off</w:t>
      </w:r>
    </w:p>
    <w:p w:rsidR="00B24D97" w:rsidRPr="00C0106B" w:rsidRDefault="00B24D97" w:rsidP="00C0106B">
      <w:pPr>
        <w:pStyle w:val="ListParagraph"/>
        <w:numPr>
          <w:ilvl w:val="0"/>
          <w:numId w:val="121"/>
        </w:numPr>
        <w:rPr>
          <w:rFonts w:ascii="Arial" w:hAnsi="Arial" w:cs="Arial"/>
          <w:sz w:val="20"/>
          <w:szCs w:val="20"/>
        </w:rPr>
      </w:pPr>
      <w:r w:rsidRPr="00C0106B">
        <w:rPr>
          <w:rFonts w:ascii="Arial" w:hAnsi="Arial" w:cs="Arial"/>
          <w:sz w:val="20"/>
          <w:szCs w:val="20"/>
        </w:rPr>
        <w:t>Mergers and Acquisitions</w:t>
      </w:r>
    </w:p>
    <w:p w:rsidR="00B24D97" w:rsidRPr="00C0106B" w:rsidRDefault="00B24D97" w:rsidP="00C0106B">
      <w:pPr>
        <w:pStyle w:val="ListParagraph"/>
        <w:numPr>
          <w:ilvl w:val="0"/>
          <w:numId w:val="121"/>
        </w:numPr>
        <w:rPr>
          <w:rFonts w:ascii="Arial" w:hAnsi="Arial" w:cs="Arial"/>
          <w:sz w:val="20"/>
          <w:szCs w:val="20"/>
        </w:rPr>
      </w:pPr>
      <w:r w:rsidRPr="00C0106B">
        <w:rPr>
          <w:rFonts w:ascii="Arial" w:hAnsi="Arial" w:cs="Arial"/>
          <w:sz w:val="20"/>
          <w:szCs w:val="20"/>
        </w:rPr>
        <w:t>Internal broker number transfers</w:t>
      </w:r>
    </w:p>
    <w:p w:rsidR="00B24D97" w:rsidRPr="00C0106B" w:rsidRDefault="00B24D97" w:rsidP="00FC200B">
      <w:pPr>
        <w:rPr>
          <w:rFonts w:cs="Arial"/>
        </w:rPr>
      </w:pPr>
      <w:r w:rsidRPr="00C0106B">
        <w:rPr>
          <w:rFonts w:cs="Arial"/>
        </w:rPr>
        <w:t>The enhancements include:-</w:t>
      </w:r>
    </w:p>
    <w:p w:rsidR="00B24D97" w:rsidRPr="00C0106B" w:rsidRDefault="00B24D97" w:rsidP="00C0106B">
      <w:pPr>
        <w:pStyle w:val="ListParagraph"/>
        <w:numPr>
          <w:ilvl w:val="0"/>
          <w:numId w:val="123"/>
        </w:numPr>
        <w:rPr>
          <w:rFonts w:ascii="Arial" w:hAnsi="Arial" w:cs="Arial"/>
          <w:sz w:val="20"/>
          <w:szCs w:val="20"/>
        </w:rPr>
      </w:pPr>
      <w:r w:rsidRPr="00C0106B">
        <w:rPr>
          <w:rFonts w:ascii="Arial" w:hAnsi="Arial" w:cs="Arial"/>
          <w:sz w:val="20"/>
          <w:szCs w:val="20"/>
        </w:rPr>
        <w:t>A security model in the IMR to define the access users within a broker organisation have to premium, policy and claim documents before and after the MTBC</w:t>
      </w:r>
    </w:p>
    <w:p w:rsidR="00B24D97" w:rsidRPr="00C0106B" w:rsidRDefault="00B24D97" w:rsidP="00C0106B">
      <w:pPr>
        <w:pStyle w:val="ListParagraph"/>
        <w:numPr>
          <w:ilvl w:val="0"/>
          <w:numId w:val="123"/>
        </w:numPr>
        <w:rPr>
          <w:rFonts w:ascii="Arial" w:hAnsi="Arial" w:cs="Arial"/>
          <w:sz w:val="20"/>
          <w:szCs w:val="20"/>
        </w:rPr>
      </w:pPr>
      <w:r w:rsidRPr="00C0106B">
        <w:rPr>
          <w:rFonts w:ascii="Arial" w:hAnsi="Arial" w:cs="Arial"/>
          <w:sz w:val="20"/>
          <w:szCs w:val="20"/>
        </w:rPr>
        <w:t>A reporting solution to show participant history on a given contract</w:t>
      </w:r>
    </w:p>
    <w:p w:rsidR="00B24D97" w:rsidRPr="00C0106B" w:rsidRDefault="00B24D97" w:rsidP="00C0106B">
      <w:pPr>
        <w:pStyle w:val="ListParagraph"/>
        <w:numPr>
          <w:ilvl w:val="0"/>
          <w:numId w:val="123"/>
        </w:numPr>
        <w:rPr>
          <w:rFonts w:ascii="Arial" w:hAnsi="Arial" w:cs="Arial"/>
          <w:sz w:val="20"/>
          <w:szCs w:val="20"/>
        </w:rPr>
      </w:pPr>
      <w:r w:rsidRPr="00C0106B">
        <w:rPr>
          <w:rFonts w:ascii="Arial" w:hAnsi="Arial" w:cs="Arial"/>
          <w:sz w:val="20"/>
          <w:szCs w:val="20"/>
        </w:rPr>
        <w:t>A User Administration tool to facilitate the administration of a MTBC</w:t>
      </w:r>
    </w:p>
    <w:p w:rsidR="00B24D97" w:rsidRPr="00C0106B" w:rsidRDefault="00B24D97" w:rsidP="00FC200B">
      <w:pPr>
        <w:rPr>
          <w:rFonts w:cs="Arial"/>
        </w:rPr>
      </w:pPr>
      <w:r w:rsidRPr="00C0106B">
        <w:rPr>
          <w:rFonts w:cs="Arial"/>
        </w:rPr>
        <w:t>The term Incoming Broker describes the broker organisation that is taking over the business and the term Outgoing broker will be used to describe the broker organisation that is handing over the business to another party.</w:t>
      </w:r>
    </w:p>
    <w:p w:rsidR="00B24D97" w:rsidRPr="00C0106B" w:rsidRDefault="00B24D97" w:rsidP="00FC200B">
      <w:pPr>
        <w:rPr>
          <w:rFonts w:cs="Arial"/>
        </w:rPr>
      </w:pPr>
      <w:r w:rsidRPr="00C0106B">
        <w:rPr>
          <w:rFonts w:cs="Arial"/>
        </w:rPr>
        <w:t>In principle the default access will be:-</w:t>
      </w:r>
    </w:p>
    <w:p w:rsidR="00B24D97" w:rsidRPr="00C0106B" w:rsidRDefault="00B24D97" w:rsidP="00C0106B">
      <w:pPr>
        <w:pStyle w:val="ListParagraph"/>
        <w:numPr>
          <w:ilvl w:val="0"/>
          <w:numId w:val="124"/>
        </w:numPr>
        <w:rPr>
          <w:rFonts w:ascii="Arial" w:hAnsi="Arial" w:cs="Arial"/>
          <w:sz w:val="20"/>
          <w:szCs w:val="20"/>
        </w:rPr>
      </w:pPr>
      <w:r w:rsidRPr="00C0106B">
        <w:rPr>
          <w:rFonts w:ascii="Arial" w:hAnsi="Arial" w:cs="Arial"/>
          <w:sz w:val="20"/>
          <w:szCs w:val="20"/>
        </w:rPr>
        <w:lastRenderedPageBreak/>
        <w:t>The Outgoing Broker will have read access to all content loaded to the UMR and associated UCRs before the MTBC but no access to content loaded to the UMR and associated UCRs after the MTBC</w:t>
      </w:r>
    </w:p>
    <w:p w:rsidR="00B24D97" w:rsidRPr="00C0106B" w:rsidRDefault="00B24D97" w:rsidP="00C0106B">
      <w:pPr>
        <w:pStyle w:val="ListParagraph"/>
        <w:numPr>
          <w:ilvl w:val="0"/>
          <w:numId w:val="124"/>
        </w:numPr>
        <w:rPr>
          <w:rFonts w:ascii="Arial" w:hAnsi="Arial" w:cs="Arial"/>
          <w:sz w:val="20"/>
          <w:szCs w:val="20"/>
        </w:rPr>
      </w:pPr>
      <w:r w:rsidRPr="00C0106B">
        <w:rPr>
          <w:rFonts w:ascii="Arial" w:hAnsi="Arial" w:cs="Arial"/>
          <w:sz w:val="20"/>
          <w:szCs w:val="20"/>
        </w:rPr>
        <w:t>The Incoming Broker will have full access to the UMR and UC</w:t>
      </w:r>
      <w:r w:rsidR="00E2587F">
        <w:rPr>
          <w:rFonts w:ascii="Arial" w:hAnsi="Arial" w:cs="Arial"/>
          <w:sz w:val="20"/>
          <w:szCs w:val="20"/>
        </w:rPr>
        <w:t>R</w:t>
      </w:r>
      <w:r w:rsidRPr="00C0106B">
        <w:rPr>
          <w:rFonts w:ascii="Arial" w:hAnsi="Arial" w:cs="Arial"/>
          <w:sz w:val="20"/>
          <w:szCs w:val="20"/>
        </w:rPr>
        <w:t xml:space="preserve"> folders for both existing and future content.</w:t>
      </w:r>
    </w:p>
    <w:p w:rsidR="00B24D97" w:rsidRPr="00D64309" w:rsidRDefault="004C3649" w:rsidP="00FC200B">
      <w:pPr>
        <w:rPr>
          <w:rFonts w:cs="Arial"/>
        </w:rPr>
      </w:pPr>
      <w:r w:rsidRPr="00E2587F">
        <w:rPr>
          <w:rFonts w:cs="Arial"/>
        </w:rPr>
        <w:t xml:space="preserve">Full details of the MTBC procedures can be found in the MTBC Implementation Guide </w:t>
      </w:r>
      <w:bookmarkStart w:id="424" w:name="OLE_LINK7"/>
      <w:bookmarkStart w:id="425" w:name="OLE_LINK8"/>
      <w:r w:rsidRPr="00E2587F">
        <w:rPr>
          <w:rFonts w:cs="Arial"/>
        </w:rPr>
        <w:t>which is available on the London Market Group website (</w:t>
      </w:r>
      <w:hyperlink r:id="rId40" w:history="1">
        <w:r w:rsidRPr="00E2587F">
          <w:rPr>
            <w:rStyle w:val="Hyperlink"/>
            <w:rFonts w:cs="Arial"/>
          </w:rPr>
          <w:t>http://www.londonmarketgroup.co.uk</w:t>
        </w:r>
      </w:hyperlink>
      <w:r w:rsidRPr="00E2587F">
        <w:rPr>
          <w:rFonts w:cs="Arial"/>
        </w:rPr>
        <w:t>).</w:t>
      </w:r>
    </w:p>
    <w:p w:rsidR="00B24D97" w:rsidRPr="00D64309" w:rsidRDefault="00B24D97" w:rsidP="00B65455">
      <w:pPr>
        <w:pStyle w:val="Heading3"/>
      </w:pPr>
      <w:bookmarkStart w:id="426" w:name="_Toc389214902"/>
      <w:bookmarkStart w:id="427" w:name="_Toc396989210"/>
      <w:bookmarkEnd w:id="424"/>
      <w:bookmarkEnd w:id="425"/>
      <w:r w:rsidRPr="00D64309">
        <w:t>Variations</w:t>
      </w:r>
      <w:bookmarkEnd w:id="426"/>
      <w:bookmarkEnd w:id="427"/>
    </w:p>
    <w:p w:rsidR="00B24D97" w:rsidRPr="00D64309" w:rsidRDefault="00B24D97" w:rsidP="00C0106B">
      <w:pPr>
        <w:pStyle w:val="Heading3"/>
      </w:pPr>
      <w:bookmarkStart w:id="428" w:name="_Toc389214903"/>
      <w:bookmarkStart w:id="429" w:name="_Toc396989211"/>
      <w:r w:rsidRPr="00D64309">
        <w:t>Ongoing responsibility for Existing Claims</w:t>
      </w:r>
      <w:bookmarkEnd w:id="428"/>
      <w:bookmarkEnd w:id="429"/>
    </w:p>
    <w:p w:rsidR="00B24D97" w:rsidRPr="00D64309" w:rsidRDefault="00B24D97" w:rsidP="0027540A">
      <w:pPr>
        <w:rPr>
          <w:rFonts w:cs="Arial"/>
        </w:rPr>
      </w:pPr>
      <w:r w:rsidRPr="00D64309">
        <w:rPr>
          <w:rFonts w:cs="Arial"/>
        </w:rPr>
        <w:t>If the transfer agreement provides for the outgoing broker to retain responsibility for certain existing claims, the outgoing broker will have full access rights to these claims in both CLASS and the IMR. The outgoing broker will have no access rights to UCRs created after the MTBC. Where claims are transferred to the incoming broker, full access will be available in the IMR to the incoming broker, however, full access to the CLASS transactions will only be available once a new transaction has been processed by the incoming broker.</w:t>
      </w:r>
    </w:p>
    <w:p w:rsidR="00B24D97" w:rsidRPr="00D64309" w:rsidRDefault="00B24D97" w:rsidP="00C0106B">
      <w:pPr>
        <w:pStyle w:val="Heading3"/>
      </w:pPr>
      <w:bookmarkStart w:id="430" w:name="_Toc389214904"/>
      <w:bookmarkStart w:id="431" w:name="_Toc396989212"/>
      <w:r w:rsidRPr="00D64309">
        <w:t>MTBC prior to 7</w:t>
      </w:r>
      <w:r w:rsidRPr="00D64309">
        <w:rPr>
          <w:vertAlign w:val="superscript"/>
        </w:rPr>
        <w:t>th</w:t>
      </w:r>
      <w:r w:rsidRPr="00D64309">
        <w:t xml:space="preserve"> December 2009</w:t>
      </w:r>
      <w:bookmarkEnd w:id="430"/>
      <w:bookmarkEnd w:id="431"/>
    </w:p>
    <w:p w:rsidR="00B24D97" w:rsidRPr="00D64309" w:rsidRDefault="00B24D97" w:rsidP="002111BB">
      <w:pPr>
        <w:rPr>
          <w:rFonts w:cs="Arial"/>
        </w:rPr>
      </w:pPr>
      <w:r w:rsidRPr="00D64309">
        <w:rPr>
          <w:rFonts w:cs="Arial"/>
        </w:rPr>
        <w:t>If an organisation has taken control of an UCR in a previous MTBC prior to 7</w:t>
      </w:r>
      <w:r w:rsidRPr="00D64309">
        <w:rPr>
          <w:rFonts w:cs="Arial"/>
          <w:vertAlign w:val="superscript"/>
        </w:rPr>
        <w:t>th</w:t>
      </w:r>
      <w:r w:rsidRPr="00D64309">
        <w:rPr>
          <w:rFonts w:cs="Arial"/>
        </w:rPr>
        <w:t xml:space="preserve"> December 2009, they will have no access to the UCR unless they have created a transaction against it. The organisation should therefore submit a MTBC instruction form against the affected UCR(s) in order to gain access. </w:t>
      </w:r>
    </w:p>
    <w:p w:rsidR="00B24D97" w:rsidRPr="00D64309" w:rsidRDefault="00B24D97" w:rsidP="00C0106B">
      <w:pPr>
        <w:pStyle w:val="Heading3"/>
      </w:pPr>
      <w:bookmarkStart w:id="432" w:name="_Toc389214905"/>
      <w:bookmarkStart w:id="433" w:name="_Toc396989213"/>
      <w:r w:rsidRPr="00D64309">
        <w:t>Retention of UMR</w:t>
      </w:r>
      <w:bookmarkEnd w:id="432"/>
      <w:bookmarkEnd w:id="433"/>
    </w:p>
    <w:p w:rsidR="00B24D97" w:rsidRPr="00D64309" w:rsidRDefault="00B24D97" w:rsidP="002111BB">
      <w:pPr>
        <w:rPr>
          <w:rFonts w:cs="Arial"/>
        </w:rPr>
      </w:pPr>
      <w:r w:rsidRPr="00D64309">
        <w:rPr>
          <w:rFonts w:cs="Arial"/>
        </w:rPr>
        <w:t>The functionality for MTBC works on the assumption that the same UMR is retained for the life-cycle of a contract. Subsequent transactions should be processed referencing that UMR to ensure all transactions and documents pertaining to the risk are maintained n one location. The procedures to be be followed if broker systems and/or procedures do not enable the UMR to be retained are detailed in the MTBC Implementation Guide.</w:t>
      </w:r>
    </w:p>
    <w:p w:rsidR="00B24D97" w:rsidRPr="00E2587F" w:rsidRDefault="004C3649" w:rsidP="00687624">
      <w:pPr>
        <w:pStyle w:val="Heading2"/>
      </w:pPr>
      <w:bookmarkStart w:id="434" w:name="_Toc389214906"/>
      <w:bookmarkStart w:id="435" w:name="_Toc396989214"/>
      <w:r w:rsidRPr="00E2587F">
        <w:t>Mid-Term Market Changes (MTMC)</w:t>
      </w:r>
      <w:bookmarkEnd w:id="434"/>
      <w:bookmarkEnd w:id="435"/>
    </w:p>
    <w:p w:rsidR="00B24D97" w:rsidRPr="00E2587F" w:rsidRDefault="004C3649" w:rsidP="007A2F4B">
      <w:pPr>
        <w:rPr>
          <w:rFonts w:cs="Arial"/>
        </w:rPr>
      </w:pPr>
      <w:r w:rsidRPr="00E2587F">
        <w:rPr>
          <w:rFonts w:cs="Arial"/>
        </w:rPr>
        <w:t>Mid-Term Market Changes (MTMC) occur when a carrier comes off risk mid-way through the term of a contract and may be replaced by another carrier.</w:t>
      </w:r>
    </w:p>
    <w:p w:rsidR="00B24D97" w:rsidRPr="00D64309" w:rsidRDefault="004C3649" w:rsidP="00D63E5B">
      <w:pPr>
        <w:rPr>
          <w:rFonts w:cs="Arial"/>
        </w:rPr>
      </w:pPr>
      <w:r w:rsidRPr="00E2587F">
        <w:rPr>
          <w:rFonts w:cs="Arial"/>
        </w:rPr>
        <w:t>The enhancement will cancel and replace the existing market enabling differential access to premium and claims content to be driven from the original signing number and date (OSND), in accordance with the Xchanging market communication 2009/180 and 2009/181 dated 17</w:t>
      </w:r>
      <w:r w:rsidRPr="00E2587F">
        <w:rPr>
          <w:rFonts w:cs="Arial"/>
          <w:vertAlign w:val="superscript"/>
        </w:rPr>
        <w:t>th</w:t>
      </w:r>
      <w:r w:rsidRPr="00E2587F">
        <w:rPr>
          <w:rFonts w:cs="Arial"/>
        </w:rPr>
        <w:t xml:space="preserve"> November 2009. Full details on how to cancel and replace the market following a MTMC are contained in the A&amp;S Repository User Guide which is available on the London Market Group website (</w:t>
      </w:r>
      <w:hyperlink r:id="rId41" w:history="1">
        <w:r w:rsidRPr="00E2587F">
          <w:rPr>
            <w:rStyle w:val="Hyperlink"/>
            <w:rFonts w:cs="Arial"/>
          </w:rPr>
          <w:t>http://www.londonmarketgroup.co.uk</w:t>
        </w:r>
      </w:hyperlink>
      <w:r w:rsidRPr="00E2587F">
        <w:rPr>
          <w:rFonts w:cs="Arial"/>
        </w:rPr>
        <w:t>).</w:t>
      </w:r>
    </w:p>
    <w:p w:rsidR="00B24D97" w:rsidRPr="00D64309" w:rsidRDefault="00B24D97" w:rsidP="007A2F4B">
      <w:pPr>
        <w:rPr>
          <w:rFonts w:cs="Arial"/>
        </w:rPr>
      </w:pPr>
      <w:r w:rsidRPr="00D64309">
        <w:rPr>
          <w:rFonts w:cs="Arial"/>
        </w:rPr>
        <w:t>In principle the default access will be:-</w:t>
      </w:r>
    </w:p>
    <w:p w:rsidR="00B24D97" w:rsidRPr="00D64309" w:rsidRDefault="00B24D97" w:rsidP="00C96DFF">
      <w:pPr>
        <w:numPr>
          <w:ilvl w:val="0"/>
          <w:numId w:val="50"/>
        </w:numPr>
        <w:rPr>
          <w:rFonts w:cs="Arial"/>
        </w:rPr>
      </w:pPr>
      <w:r w:rsidRPr="00D64309">
        <w:rPr>
          <w:rFonts w:cs="Arial"/>
        </w:rPr>
        <w:t>Outgoing participants on the market will have read only access to the documentation loaded on the IMR</w:t>
      </w:r>
    </w:p>
    <w:p w:rsidR="00B24D97" w:rsidRDefault="00B24D97" w:rsidP="00C96DFF">
      <w:pPr>
        <w:numPr>
          <w:ilvl w:val="0"/>
          <w:numId w:val="50"/>
        </w:numPr>
        <w:rPr>
          <w:rFonts w:cs="Arial"/>
        </w:rPr>
      </w:pPr>
      <w:r w:rsidRPr="00D64309">
        <w:rPr>
          <w:rFonts w:cs="Arial"/>
        </w:rPr>
        <w:t xml:space="preserve">New and existing participants will have full access to documentation    </w:t>
      </w:r>
    </w:p>
    <w:p w:rsidR="00B24D97" w:rsidRPr="00C0106B" w:rsidRDefault="00B24D97" w:rsidP="00687624">
      <w:pPr>
        <w:pStyle w:val="Heading1"/>
      </w:pPr>
      <w:bookmarkStart w:id="436" w:name="_Toc389214907"/>
      <w:bookmarkStart w:id="437" w:name="_Toc396989215"/>
      <w:r w:rsidRPr="00C0106B">
        <w:t>Third Party Access</w:t>
      </w:r>
      <w:bookmarkEnd w:id="436"/>
      <w:bookmarkEnd w:id="437"/>
    </w:p>
    <w:p w:rsidR="00B24D97" w:rsidRPr="00D64309" w:rsidRDefault="00B24D97" w:rsidP="00BA382C">
      <w:pPr>
        <w:rPr>
          <w:rFonts w:cs="Arial"/>
        </w:rPr>
      </w:pPr>
      <w:r w:rsidRPr="00D64309">
        <w:rPr>
          <w:rFonts w:cs="Arial"/>
        </w:rPr>
        <w:t>New functionality will allow the management of access control to market documentation for all ‘Third Parties’. Third Parties will be specifically identified as Third Parties within Xchanging systems and classified by role (ie, Third Party Experts (Lawyers, Loss Adjusters, Auditors, etc), Fee Collection Agencies, and Third Party Service Providers). The Third Party Service Provider role includes:-</w:t>
      </w:r>
    </w:p>
    <w:p w:rsidR="00B24D97" w:rsidRPr="00D64309" w:rsidRDefault="00B24D97" w:rsidP="00C96DFF">
      <w:pPr>
        <w:numPr>
          <w:ilvl w:val="0"/>
          <w:numId w:val="52"/>
        </w:numPr>
        <w:rPr>
          <w:rFonts w:cs="Arial"/>
        </w:rPr>
      </w:pPr>
      <w:r w:rsidRPr="00D64309">
        <w:rPr>
          <w:rFonts w:cs="Arial"/>
        </w:rPr>
        <w:lastRenderedPageBreak/>
        <w:t>Third Party Service Provider for Brokers</w:t>
      </w:r>
    </w:p>
    <w:p w:rsidR="00B24D97" w:rsidRPr="00D64309" w:rsidRDefault="00B24D97" w:rsidP="00C96DFF">
      <w:pPr>
        <w:numPr>
          <w:ilvl w:val="0"/>
          <w:numId w:val="52"/>
        </w:numPr>
        <w:rPr>
          <w:rFonts w:cs="Arial"/>
        </w:rPr>
      </w:pPr>
      <w:r w:rsidRPr="00D64309">
        <w:rPr>
          <w:rFonts w:cs="Arial"/>
        </w:rPr>
        <w:t>Third Party Service Providers for Carriers ECF</w:t>
      </w:r>
    </w:p>
    <w:p w:rsidR="00B24D97" w:rsidRPr="00D64309" w:rsidRDefault="00B24D97" w:rsidP="00C96DFF">
      <w:pPr>
        <w:numPr>
          <w:ilvl w:val="0"/>
          <w:numId w:val="52"/>
        </w:numPr>
        <w:rPr>
          <w:rFonts w:cs="Arial"/>
        </w:rPr>
      </w:pPr>
      <w:r w:rsidRPr="00D64309">
        <w:rPr>
          <w:rFonts w:cs="Arial"/>
        </w:rPr>
        <w:t>Third Party Service Providers Carriers A&amp;S</w:t>
      </w:r>
    </w:p>
    <w:p w:rsidR="00B24D97" w:rsidRPr="00D64309" w:rsidRDefault="00B24D97" w:rsidP="00C96DFF">
      <w:pPr>
        <w:numPr>
          <w:ilvl w:val="0"/>
          <w:numId w:val="52"/>
        </w:numPr>
        <w:rPr>
          <w:rFonts w:cs="Arial"/>
        </w:rPr>
      </w:pPr>
      <w:r w:rsidRPr="00D64309">
        <w:rPr>
          <w:rFonts w:cs="Arial"/>
        </w:rPr>
        <w:t>Companies providing run off services for active brokers</w:t>
      </w:r>
    </w:p>
    <w:p w:rsidR="00B24D97" w:rsidRPr="00D64309" w:rsidRDefault="00B24D97" w:rsidP="00C96DFF">
      <w:pPr>
        <w:numPr>
          <w:ilvl w:val="0"/>
          <w:numId w:val="52"/>
        </w:numPr>
        <w:rPr>
          <w:rFonts w:cs="Arial"/>
        </w:rPr>
      </w:pPr>
      <w:r w:rsidRPr="00D64309">
        <w:rPr>
          <w:rFonts w:cs="Arial"/>
        </w:rPr>
        <w:t>Companies providing run off services for insolvent brokers</w:t>
      </w:r>
    </w:p>
    <w:p w:rsidR="00B24D97" w:rsidRPr="00D64309" w:rsidRDefault="00B24D97" w:rsidP="00C96DFF">
      <w:pPr>
        <w:numPr>
          <w:ilvl w:val="0"/>
          <w:numId w:val="52"/>
        </w:numPr>
        <w:rPr>
          <w:rFonts w:cs="Arial"/>
        </w:rPr>
      </w:pPr>
      <w:r w:rsidRPr="00D64309">
        <w:rPr>
          <w:rFonts w:cs="Arial"/>
        </w:rPr>
        <w:t>Broker run off insolvent brokers</w:t>
      </w:r>
    </w:p>
    <w:p w:rsidR="00B24D97" w:rsidRPr="00D64309" w:rsidRDefault="00B24D97" w:rsidP="00C96DFF">
      <w:pPr>
        <w:numPr>
          <w:ilvl w:val="0"/>
          <w:numId w:val="52"/>
        </w:numPr>
        <w:rPr>
          <w:rFonts w:cs="Arial"/>
        </w:rPr>
      </w:pPr>
      <w:r w:rsidRPr="00D64309">
        <w:rPr>
          <w:rFonts w:cs="Arial"/>
        </w:rPr>
        <w:t>Companies providing run off services for Carriers</w:t>
      </w:r>
    </w:p>
    <w:p w:rsidR="00B24D97" w:rsidRPr="00D64309" w:rsidRDefault="00B24D97" w:rsidP="00C96DFF">
      <w:pPr>
        <w:numPr>
          <w:ilvl w:val="0"/>
          <w:numId w:val="52"/>
        </w:numPr>
        <w:rPr>
          <w:rFonts w:cs="Arial"/>
        </w:rPr>
      </w:pPr>
      <w:r w:rsidRPr="00D64309">
        <w:rPr>
          <w:rFonts w:cs="Arial"/>
        </w:rPr>
        <w:t>Companies providing RITC (Reinsurance to Close) services for Lloyd’s Carriers</w:t>
      </w:r>
    </w:p>
    <w:p w:rsidR="00B24D97" w:rsidRDefault="004C3649" w:rsidP="00BA382C">
      <w:pPr>
        <w:rPr>
          <w:rFonts w:cs="Arial"/>
        </w:rPr>
      </w:pPr>
      <w:r w:rsidRPr="00E2587F">
        <w:rPr>
          <w:rFonts w:cs="Arial"/>
        </w:rPr>
        <w:t xml:space="preserve">Full details on the Third Party Access functionality can be found in the ‘Third Party Access Implementation Guide’ which is available on the </w:t>
      </w:r>
      <w:r w:rsidR="00E2587F" w:rsidRPr="00E2587F">
        <w:rPr>
          <w:rFonts w:cs="Arial"/>
        </w:rPr>
        <w:t>ECF</w:t>
      </w:r>
      <w:r w:rsidRPr="00E2587F">
        <w:rPr>
          <w:rFonts w:cs="Arial"/>
        </w:rPr>
        <w:t xml:space="preserve"> website </w:t>
      </w:r>
      <w:hyperlink r:id="rId42" w:history="1">
        <w:r w:rsidR="00E2587F" w:rsidRPr="00E2587F">
          <w:rPr>
            <w:rStyle w:val="Hyperlink"/>
            <w:rFonts w:cs="Arial"/>
          </w:rPr>
          <w:t>http://www.ecfinfo.eu/how-to/third-party-access/</w:t>
        </w:r>
      </w:hyperlink>
    </w:p>
    <w:p w:rsidR="00B24D97" w:rsidRPr="00D64309" w:rsidRDefault="00B24D97" w:rsidP="00C41FF0">
      <w:pPr>
        <w:rPr>
          <w:rFonts w:cs="Arial"/>
        </w:rPr>
      </w:pPr>
      <w:r w:rsidRPr="00D64309">
        <w:rPr>
          <w:rFonts w:cs="Arial"/>
        </w:rPr>
        <w:t>Where a Third Party organisation performs a number of roles, they will be required to have a separate Third Party Number for each of the functions they perform. They will be allocated a single Account code, under which separate Central Settlement Numbers (CSNs) can be assigned. Users can then be associated to one or more CSNs depending upon the tasks they need to carry out. At least one administrator will be created with the Third Party, who will be able to create and manage the individual users within their organisation.</w:t>
      </w:r>
    </w:p>
    <w:p w:rsidR="00B24D97" w:rsidRPr="00D64309" w:rsidRDefault="00B24D97" w:rsidP="00C41FF0">
      <w:pPr>
        <w:rPr>
          <w:rFonts w:cs="Arial"/>
        </w:rPr>
      </w:pPr>
      <w:r w:rsidRPr="00D64309">
        <w:rPr>
          <w:rFonts w:cs="Arial"/>
        </w:rPr>
        <w:t>The new functionality will:-</w:t>
      </w:r>
    </w:p>
    <w:p w:rsidR="00B24D97" w:rsidRPr="00D64309" w:rsidRDefault="00B24D97" w:rsidP="00C96DFF">
      <w:pPr>
        <w:numPr>
          <w:ilvl w:val="0"/>
          <w:numId w:val="51"/>
        </w:numPr>
        <w:rPr>
          <w:rFonts w:cs="Arial"/>
        </w:rPr>
      </w:pPr>
      <w:r w:rsidRPr="00D64309">
        <w:rPr>
          <w:rFonts w:cs="Arial"/>
        </w:rPr>
        <w:t>Include facilities for security administrators within market organisations to provide access for Third Parties to specific documentation held on the IMR.</w:t>
      </w:r>
    </w:p>
    <w:p w:rsidR="00B24D97" w:rsidRPr="00D64309" w:rsidRDefault="00B24D97" w:rsidP="00C96DFF">
      <w:pPr>
        <w:numPr>
          <w:ilvl w:val="0"/>
          <w:numId w:val="51"/>
        </w:numPr>
        <w:rPr>
          <w:rFonts w:cs="Arial"/>
        </w:rPr>
      </w:pPr>
      <w:r w:rsidRPr="00D64309">
        <w:rPr>
          <w:rFonts w:cs="Arial"/>
        </w:rPr>
        <w:t xml:space="preserve">Allow Third Parties to raise transactions and load documents on a parallel UCR rather than on the broker’s UCR. Hyperlinks will exist between the brokers UCR and any parallel UCRs, to allow carriers to move easily from the broker’s UCR to a fee UCR, or any other parallel UCR. </w:t>
      </w:r>
    </w:p>
    <w:p w:rsidR="00B24D97" w:rsidRPr="00D64309" w:rsidRDefault="00B24D97" w:rsidP="00C96DFF">
      <w:pPr>
        <w:numPr>
          <w:ilvl w:val="0"/>
          <w:numId w:val="51"/>
        </w:numPr>
        <w:rPr>
          <w:rFonts w:cs="Arial"/>
        </w:rPr>
      </w:pPr>
      <w:r w:rsidRPr="00D64309">
        <w:rPr>
          <w:rFonts w:cs="Arial"/>
        </w:rPr>
        <w:t>Allow Third Party Experts to access other organisations’ documents once authorised to do so by the organisations’ security administrator.</w:t>
      </w:r>
    </w:p>
    <w:p w:rsidR="00B24D97" w:rsidRPr="00D64309" w:rsidRDefault="00B24D97" w:rsidP="00C96DFF">
      <w:pPr>
        <w:numPr>
          <w:ilvl w:val="0"/>
          <w:numId w:val="51"/>
        </w:numPr>
        <w:rPr>
          <w:rFonts w:cs="Arial"/>
        </w:rPr>
      </w:pPr>
      <w:r w:rsidRPr="00D64309">
        <w:rPr>
          <w:rFonts w:cs="Arial"/>
        </w:rPr>
        <w:t xml:space="preserve">Restrict Fee Collection Agencies to the loading and viewing of their own documents within the IMR. </w:t>
      </w:r>
    </w:p>
    <w:p w:rsidR="00B24D97" w:rsidRDefault="00B24D97" w:rsidP="00C96DFF">
      <w:pPr>
        <w:numPr>
          <w:ilvl w:val="0"/>
          <w:numId w:val="51"/>
        </w:numPr>
        <w:rPr>
          <w:rFonts w:cs="Arial"/>
        </w:rPr>
      </w:pPr>
      <w:r w:rsidRPr="00D64309">
        <w:rPr>
          <w:rFonts w:cs="Arial"/>
        </w:rPr>
        <w:t>Ensure that a broker UCR exists to allow a parallel UCR to be created.</w:t>
      </w:r>
    </w:p>
    <w:p w:rsidR="00B24D97" w:rsidRPr="00C0106B" w:rsidRDefault="00B24D97" w:rsidP="00C0106B">
      <w:pPr>
        <w:pStyle w:val="Heading3"/>
      </w:pPr>
      <w:bookmarkStart w:id="438" w:name="_Toc389214910"/>
      <w:bookmarkStart w:id="439" w:name="_Toc396989216"/>
      <w:r w:rsidRPr="00C0106B">
        <w:t>Run-off organisations</w:t>
      </w:r>
      <w:bookmarkEnd w:id="438"/>
      <w:bookmarkEnd w:id="439"/>
    </w:p>
    <w:p w:rsidR="00B24D97" w:rsidRPr="00D64309" w:rsidRDefault="00B24D97" w:rsidP="00C031BC">
      <w:pPr>
        <w:rPr>
          <w:rFonts w:cs="Arial"/>
        </w:rPr>
      </w:pPr>
      <w:r w:rsidRPr="00D64309">
        <w:rPr>
          <w:rFonts w:cs="Arial"/>
        </w:rPr>
        <w:t>Run-off organisations who already act in the capacity of brokers are not impacted by this functionality and should refer to the MTBC Implementation Guide.</w:t>
      </w:r>
    </w:p>
    <w:p w:rsidR="00B24D97" w:rsidRPr="00D64309" w:rsidRDefault="00B24D97" w:rsidP="00C0106B">
      <w:pPr>
        <w:pStyle w:val="Heading3"/>
      </w:pPr>
      <w:bookmarkStart w:id="440" w:name="_Toc389214911"/>
      <w:bookmarkStart w:id="441" w:name="_Toc396989217"/>
      <w:r w:rsidRPr="00D64309">
        <w:t>Deletion of Broker UCR</w:t>
      </w:r>
      <w:bookmarkEnd w:id="440"/>
      <w:bookmarkEnd w:id="441"/>
    </w:p>
    <w:p w:rsidR="00B24D97" w:rsidRPr="00D64309" w:rsidRDefault="00B24D97" w:rsidP="003F7A32">
      <w:pPr>
        <w:rPr>
          <w:rFonts w:cs="Arial"/>
        </w:rPr>
      </w:pPr>
      <w:r w:rsidRPr="00D64309">
        <w:rPr>
          <w:rFonts w:cs="Arial"/>
        </w:rPr>
        <w:t>A broker will not be able to delete a UCR if a parallel UCR has been associated to it. The broker should contact the Xchanging Services Desk in this instance.</w:t>
      </w:r>
    </w:p>
    <w:p w:rsidR="00E43829" w:rsidRPr="00E43829" w:rsidRDefault="00D01C38" w:rsidP="00C0106B">
      <w:pPr>
        <w:pStyle w:val="Heading3"/>
      </w:pPr>
      <w:bookmarkStart w:id="442" w:name="_Toc396989218"/>
      <w:r w:rsidRPr="00E43829">
        <w:t xml:space="preserve">Parallel UCRs </w:t>
      </w:r>
      <w:r w:rsidR="00E621E0" w:rsidRPr="00E43829">
        <w:t>–</w:t>
      </w:r>
      <w:r w:rsidRPr="00E43829">
        <w:t xml:space="preserve"> </w:t>
      </w:r>
      <w:r w:rsidR="00E621E0" w:rsidRPr="00E43829">
        <w:t xml:space="preserve"> Fee reserving &amp; Direct Reporting</w:t>
      </w:r>
      <w:bookmarkEnd w:id="442"/>
    </w:p>
    <w:p w:rsidR="00B24D97" w:rsidRPr="00D64309" w:rsidRDefault="00B24D97" w:rsidP="00B8161C">
      <w:pPr>
        <w:rPr>
          <w:rFonts w:cs="Arial"/>
        </w:rPr>
      </w:pPr>
      <w:r w:rsidRPr="00D64309">
        <w:rPr>
          <w:rFonts w:cs="Arial"/>
        </w:rPr>
        <w:t>Where the Fee Collection Agent needs to advise reserves relating to any outstanding fees, they should include these in the parallel ECF transaction. The Fee Collection Agent parallel UCR should not include any indemnity reserves or payments. Carriers or their service providers will identify whether any reserve amounts loaded to a parallel UCR duplicate reserves already held on the broker UCR.</w:t>
      </w:r>
    </w:p>
    <w:p w:rsidR="00B24D97" w:rsidRPr="00D64309" w:rsidRDefault="00B24D97" w:rsidP="00C0106B">
      <w:pPr>
        <w:pStyle w:val="Heading3"/>
      </w:pPr>
      <w:bookmarkStart w:id="443" w:name="_Toc389214912"/>
      <w:bookmarkStart w:id="444" w:name="_Toc396989219"/>
      <w:r w:rsidRPr="00D64309">
        <w:lastRenderedPageBreak/>
        <w:t>Parallel UCRs and Multiple CORs</w:t>
      </w:r>
      <w:bookmarkEnd w:id="443"/>
      <w:bookmarkEnd w:id="444"/>
    </w:p>
    <w:p w:rsidR="00B24D97" w:rsidRPr="00D64309" w:rsidRDefault="00B24D97" w:rsidP="00B8161C">
      <w:pPr>
        <w:rPr>
          <w:rFonts w:cs="Arial"/>
        </w:rPr>
      </w:pPr>
      <w:r w:rsidRPr="00D64309">
        <w:rPr>
          <w:rFonts w:cs="Arial"/>
        </w:rPr>
        <w:t>Where a Fee Collection Agency creates a parallel UCR, XCS will feed both sets of figures into a single COR for output on the SCM. Where multiple CORs have previously been created from a single UCR, for example, due to county splits, XCS will adjust the CORs accordingly if a parallel UCR is also submitted.</w:t>
      </w:r>
    </w:p>
    <w:p w:rsidR="00B24D97" w:rsidRPr="00D64309" w:rsidRDefault="00B24D97" w:rsidP="00C0106B">
      <w:pPr>
        <w:pStyle w:val="Heading3"/>
      </w:pPr>
      <w:bookmarkStart w:id="445" w:name="_Toc389214913"/>
      <w:bookmarkStart w:id="446" w:name="_Toc396989220"/>
      <w:r w:rsidRPr="00D64309">
        <w:t>Comments</w:t>
      </w:r>
      <w:bookmarkEnd w:id="445"/>
      <w:bookmarkEnd w:id="446"/>
    </w:p>
    <w:p w:rsidR="00B24D97" w:rsidRPr="00D64309" w:rsidRDefault="00B24D97" w:rsidP="004C2D6E">
      <w:pPr>
        <w:rPr>
          <w:rFonts w:cs="Arial"/>
        </w:rPr>
      </w:pPr>
      <w:r w:rsidRPr="00D64309">
        <w:rPr>
          <w:rFonts w:cs="Arial"/>
        </w:rPr>
        <w:t>Agreement party comments relating to the parallel UCR will be visible to the Third Party, who should monitor these and action accordingly. Carriers should take care when adding comments to UCRs where there is a parallel UCR in place, to ensure that the comments are added to the correct UCR, particularly in the case of Confidential reporting situations.</w:t>
      </w:r>
    </w:p>
    <w:p w:rsidR="00B24D97" w:rsidRPr="00D64309" w:rsidRDefault="00B24D97" w:rsidP="00C0106B">
      <w:pPr>
        <w:pStyle w:val="Heading3"/>
      </w:pPr>
      <w:bookmarkStart w:id="447" w:name="_Toc389214914"/>
      <w:bookmarkStart w:id="448" w:name="_Toc396989221"/>
      <w:r w:rsidRPr="00D64309">
        <w:t>Creation of parallel UCRs</w:t>
      </w:r>
      <w:bookmarkEnd w:id="447"/>
      <w:bookmarkEnd w:id="448"/>
    </w:p>
    <w:p w:rsidR="00B24D97" w:rsidRPr="00D64309" w:rsidRDefault="00B24D97" w:rsidP="004C2D6E">
      <w:pPr>
        <w:rPr>
          <w:rFonts w:cs="Arial"/>
        </w:rPr>
      </w:pPr>
      <w:r w:rsidRPr="00D64309">
        <w:rPr>
          <w:rFonts w:cs="Arial"/>
        </w:rPr>
        <w:t>Only one parallel UCR should be created per organisation. The Third Party should not create separate parallel UCRs, for example, for confidential material, non-confidential material and fees.</w:t>
      </w:r>
    </w:p>
    <w:p w:rsidR="00B24D97" w:rsidRPr="00D64309" w:rsidRDefault="00270DD3" w:rsidP="00C0106B">
      <w:pPr>
        <w:pStyle w:val="Heading3"/>
      </w:pPr>
      <w:bookmarkStart w:id="449" w:name="_Toc389214915"/>
      <w:bookmarkStart w:id="450" w:name="_Toc396989222"/>
      <w:r>
        <w:t>Conflict</w:t>
      </w:r>
      <w:r w:rsidR="00B24D97" w:rsidRPr="00D64309">
        <w:t xml:space="preserve"> of Interest</w:t>
      </w:r>
      <w:bookmarkEnd w:id="449"/>
      <w:r>
        <w:t xml:space="preserve"> – Parallel UCRs</w:t>
      </w:r>
      <w:bookmarkEnd w:id="450"/>
    </w:p>
    <w:p w:rsidR="00B24D97" w:rsidRPr="00D64309" w:rsidRDefault="00B24D97" w:rsidP="004C2D6E">
      <w:pPr>
        <w:rPr>
          <w:rFonts w:cs="Arial"/>
        </w:rPr>
      </w:pPr>
      <w:r w:rsidRPr="00D64309">
        <w:rPr>
          <w:rFonts w:cs="Arial"/>
        </w:rPr>
        <w:t>Carriers will be able to declare the same conflicts on a parallel UCR that they are able to do on a broker’s UCR, but there is no functionality to ensure that the two are consistent, eg, a carrier could declare a conflict on a broker UCR but not on a parallel UCR.</w:t>
      </w:r>
    </w:p>
    <w:p w:rsidR="00B24D97" w:rsidRPr="00D64309" w:rsidRDefault="00B24D97" w:rsidP="00C0106B">
      <w:pPr>
        <w:pStyle w:val="Heading3"/>
      </w:pPr>
      <w:bookmarkStart w:id="451" w:name="_Toc389214916"/>
      <w:bookmarkStart w:id="452" w:name="_Toc396989223"/>
      <w:r w:rsidRPr="00D64309">
        <w:t>Conflict of Interest</w:t>
      </w:r>
      <w:bookmarkEnd w:id="451"/>
      <w:bookmarkEnd w:id="452"/>
    </w:p>
    <w:p w:rsidR="00B24D97" w:rsidRPr="00D64309" w:rsidRDefault="00B24D97" w:rsidP="00452F09">
      <w:pPr>
        <w:rPr>
          <w:rFonts w:cs="Arial"/>
        </w:rPr>
      </w:pPr>
      <w:r w:rsidRPr="00D64309">
        <w:rPr>
          <w:rFonts w:cs="Arial"/>
        </w:rPr>
        <w:t>The enhancements implement functionality to allow conflicts of interest to be managed in a number of different scenarios. This includes:-</w:t>
      </w:r>
    </w:p>
    <w:p w:rsidR="00B24D97" w:rsidRPr="00D64309" w:rsidRDefault="00B24D97" w:rsidP="00C96DFF">
      <w:pPr>
        <w:numPr>
          <w:ilvl w:val="0"/>
          <w:numId w:val="53"/>
        </w:numPr>
        <w:rPr>
          <w:rFonts w:cs="Arial"/>
        </w:rPr>
      </w:pPr>
      <w:r w:rsidRPr="00D64309">
        <w:rPr>
          <w:rFonts w:cs="Arial"/>
        </w:rPr>
        <w:t>Enabling organisations to define access to a claim file in the IMR at individual level</w:t>
      </w:r>
    </w:p>
    <w:p w:rsidR="00B24D97" w:rsidRPr="00D64309" w:rsidRDefault="00B24D97" w:rsidP="00C96DFF">
      <w:pPr>
        <w:numPr>
          <w:ilvl w:val="0"/>
          <w:numId w:val="53"/>
        </w:numPr>
        <w:rPr>
          <w:rFonts w:cs="Arial"/>
        </w:rPr>
      </w:pPr>
      <w:r w:rsidRPr="00D64309">
        <w:rPr>
          <w:rFonts w:cs="Arial"/>
        </w:rPr>
        <w:t>Allowing individuals to conflict themselves from a claim</w:t>
      </w:r>
    </w:p>
    <w:p w:rsidR="00B24D97" w:rsidRPr="00D64309" w:rsidRDefault="00B24D97" w:rsidP="00C96DFF">
      <w:pPr>
        <w:numPr>
          <w:ilvl w:val="0"/>
          <w:numId w:val="53"/>
        </w:numPr>
        <w:rPr>
          <w:rFonts w:cs="Arial"/>
        </w:rPr>
      </w:pPr>
      <w:r w:rsidRPr="00D64309">
        <w:rPr>
          <w:rFonts w:cs="Arial"/>
        </w:rPr>
        <w:t>Allowing one or more Conflicts Security Administrator within an organisation to grant access to claims for some individuals and revoke it from others</w:t>
      </w:r>
    </w:p>
    <w:p w:rsidR="00B24D97" w:rsidRPr="00D64309" w:rsidRDefault="00B24D97" w:rsidP="00C96DFF">
      <w:pPr>
        <w:numPr>
          <w:ilvl w:val="0"/>
          <w:numId w:val="53"/>
        </w:numPr>
        <w:rPr>
          <w:rFonts w:cs="Arial"/>
        </w:rPr>
      </w:pPr>
      <w:r w:rsidRPr="00D64309">
        <w:rPr>
          <w:rFonts w:cs="Arial"/>
        </w:rPr>
        <w:t xml:space="preserve">All users, </w:t>
      </w:r>
      <w:r w:rsidR="00D27D9D">
        <w:rPr>
          <w:rFonts w:cs="Arial"/>
        </w:rPr>
        <w:t>regardless of how they access a</w:t>
      </w:r>
      <w:r w:rsidRPr="00D64309">
        <w:rPr>
          <w:rFonts w:cs="Arial"/>
        </w:rPr>
        <w:t xml:space="preserve"> UCR, will always be initially directed to the Claims Summary Screen. This will hold sufficient information for an organisation to identify whether they have a conflict on that claim.</w:t>
      </w:r>
    </w:p>
    <w:p w:rsidR="00B24D97" w:rsidRPr="00D64309" w:rsidRDefault="00B24D97" w:rsidP="00687624">
      <w:pPr>
        <w:pStyle w:val="Heading1"/>
      </w:pPr>
      <w:bookmarkStart w:id="453" w:name="_Toc389214917"/>
      <w:bookmarkStart w:id="454" w:name="_Toc396989224"/>
      <w:r w:rsidRPr="00D64309">
        <w:t>Variations</w:t>
      </w:r>
      <w:bookmarkEnd w:id="453"/>
      <w:bookmarkEnd w:id="454"/>
    </w:p>
    <w:p w:rsidR="00B24D97" w:rsidRPr="00D64309" w:rsidRDefault="00B24D97" w:rsidP="00687624">
      <w:pPr>
        <w:pStyle w:val="Heading2"/>
      </w:pPr>
      <w:bookmarkStart w:id="455" w:name="_Toc389214918"/>
      <w:bookmarkStart w:id="456" w:name="_Toc396989225"/>
      <w:r w:rsidRPr="00D64309">
        <w:t>Duplicate UCRs</w:t>
      </w:r>
      <w:bookmarkEnd w:id="455"/>
      <w:bookmarkEnd w:id="456"/>
    </w:p>
    <w:p w:rsidR="00B24D97" w:rsidRPr="00D64309" w:rsidRDefault="00B24D97" w:rsidP="002A7708">
      <w:pPr>
        <w:rPr>
          <w:rFonts w:cs="Arial"/>
        </w:rPr>
      </w:pPr>
      <w:r w:rsidRPr="00D64309">
        <w:rPr>
          <w:rFonts w:cs="Arial"/>
        </w:rPr>
        <w:t>It is possible in the IMR for duplicate UCRs to be attached to different UMRs. In the event that a Carrier declares a conflict of interest against a duplicate UCR and subsequently discovers that the conflict has been declared against the wrong UCR, the Conflicts Security Administrator will need to remove the conflict and declare it against the correct UCR.</w:t>
      </w:r>
    </w:p>
    <w:p w:rsidR="00B24D97" w:rsidRPr="00C0106B" w:rsidRDefault="00B24D97" w:rsidP="00687624">
      <w:pPr>
        <w:pStyle w:val="Heading2"/>
      </w:pPr>
      <w:bookmarkStart w:id="457" w:name="_Toc389214919"/>
      <w:bookmarkStart w:id="458" w:name="_Toc396989226"/>
      <w:r w:rsidRPr="00C0106B">
        <w:t>Confidential Terms</w:t>
      </w:r>
      <w:bookmarkEnd w:id="457"/>
      <w:bookmarkEnd w:id="458"/>
    </w:p>
    <w:p w:rsidR="00B24D97" w:rsidRPr="00D64309" w:rsidRDefault="004C3649" w:rsidP="002A7708">
      <w:pPr>
        <w:rPr>
          <w:rFonts w:cs="Arial"/>
        </w:rPr>
      </w:pPr>
      <w:r w:rsidRPr="00E2587F">
        <w:rPr>
          <w:rFonts w:cs="Arial"/>
        </w:rPr>
        <w:t>The enhancements include a full ACL-based solution for managing confidential placing documents on the IMR. Brokers and other users loading documents will be able to optionally specify a document level ACL. Further details on this functionality can be found in the A&amp;S Repository User Guide which is available on the London Market Group website (</w:t>
      </w:r>
      <w:hyperlink r:id="rId43" w:history="1">
        <w:r w:rsidRPr="00E2587F">
          <w:rPr>
            <w:rStyle w:val="Hyperlink"/>
            <w:rFonts w:cs="Arial"/>
          </w:rPr>
          <w:t>http://www.londonmarketgroup.co.uk</w:t>
        </w:r>
      </w:hyperlink>
      <w:r w:rsidRPr="00E2587F">
        <w:rPr>
          <w:rFonts w:cs="Arial"/>
        </w:rPr>
        <w:t>).</w:t>
      </w:r>
    </w:p>
    <w:p w:rsidR="00B24D97" w:rsidRPr="00D64309" w:rsidRDefault="00B24D97" w:rsidP="00687624">
      <w:pPr>
        <w:pStyle w:val="Heading2"/>
      </w:pPr>
      <w:bookmarkStart w:id="459" w:name="_Toc389214920"/>
      <w:bookmarkStart w:id="460" w:name="_Toc396989227"/>
      <w:r w:rsidRPr="00D64309">
        <w:t>ECF Transaction Deletion (The Parent / Child Issue)</w:t>
      </w:r>
      <w:bookmarkEnd w:id="459"/>
      <w:bookmarkEnd w:id="460"/>
    </w:p>
    <w:p w:rsidR="005B32DD" w:rsidRDefault="00B24D97" w:rsidP="00E43829">
      <w:pPr>
        <w:jc w:val="left"/>
        <w:rPr>
          <w:rFonts w:cs="Arial"/>
        </w:rPr>
      </w:pPr>
      <w:r w:rsidRPr="00D64309">
        <w:rPr>
          <w:rFonts w:cs="Arial"/>
        </w:rPr>
        <w:t xml:space="preserve">In the current version of ECF the sequence of actions when deleting a transaction for one bureau can cause a problem when that transaction is subsequently viewed by a member of another bureau.  The reason for this is that the IMR view of the claim data is a consolidated view for all bureaux on the same claim.  Certain information such as the status of the transaction is taken from the CLASS record </w:t>
      </w:r>
      <w:r w:rsidRPr="00D64309">
        <w:rPr>
          <w:rFonts w:cs="Arial"/>
        </w:rPr>
        <w:lastRenderedPageBreak/>
        <w:t>of the bureau on which the most recent action took place.  This means that when a transaction is created for more than one and then the transaction for one of the bureaux is deleted, the IMR view gives the appearance that the transaction has been deleted in its entirety.  It is a particular issue for Lloyd’s syndicates who would respond to the transaction via the IMR view. </w:t>
      </w:r>
      <w:r w:rsidRPr="00D64309">
        <w:rPr>
          <w:rFonts w:cs="Arial"/>
        </w:rPr>
        <w:br/>
      </w:r>
      <w:r w:rsidRPr="00D64309">
        <w:rPr>
          <w:rFonts w:cs="Arial"/>
        </w:rPr>
        <w:br/>
        <w:t>It is expected that in most cases, when a transaction for only one bureau is deleted that the action has been taken pending subsequent replacement with the same transaction reference because of an error.  It seems that in some cases the cancellation takes place and there is a delay before the replacement is raised.  Were there to be no such delay the issue would not arise.  </w:t>
      </w:r>
      <w:r w:rsidRPr="00D64309">
        <w:rPr>
          <w:rFonts w:cs="Arial"/>
        </w:rPr>
        <w:br/>
      </w:r>
      <w:r w:rsidRPr="00D64309">
        <w:rPr>
          <w:rFonts w:cs="Arial"/>
        </w:rPr>
        <w:br/>
        <w:t>Pending resolution of the issue the following process should be observed;</w:t>
      </w:r>
      <w:r w:rsidRPr="00D64309">
        <w:rPr>
          <w:rFonts w:cs="Arial"/>
        </w:rPr>
        <w:br/>
      </w:r>
    </w:p>
    <w:p w:rsidR="00275D78" w:rsidRDefault="00275D78" w:rsidP="00275D78">
      <w:pPr>
        <w:tabs>
          <w:tab w:val="left" w:pos="426"/>
        </w:tabs>
        <w:ind w:left="426" w:hanging="426"/>
        <w:jc w:val="left"/>
        <w:rPr>
          <w:rFonts w:cs="Arial"/>
        </w:rPr>
      </w:pPr>
      <w:r>
        <w:rPr>
          <w:rFonts w:cs="Arial"/>
        </w:rPr>
        <w:t>1)     </w:t>
      </w:r>
      <w:r w:rsidR="00B24D97" w:rsidRPr="00D64309">
        <w:rPr>
          <w:rFonts w:cs="Arial"/>
        </w:rPr>
        <w:t>When cancellation and replacement of one of CLASS transactions of one of the bureau is required, whenever possible the cancelation and replacement should be carried out</w:t>
      </w:r>
      <w:r>
        <w:rPr>
          <w:rFonts w:cs="Arial"/>
        </w:rPr>
        <w:t xml:space="preserve"> at the same time.</w:t>
      </w:r>
    </w:p>
    <w:p w:rsidR="00275D78" w:rsidRDefault="00275D78" w:rsidP="00275D78">
      <w:pPr>
        <w:tabs>
          <w:tab w:val="left" w:pos="426"/>
        </w:tabs>
        <w:ind w:left="426" w:hanging="426"/>
        <w:jc w:val="left"/>
        <w:rPr>
          <w:rFonts w:cs="Arial"/>
        </w:rPr>
      </w:pPr>
      <w:r>
        <w:rPr>
          <w:rFonts w:cs="Arial"/>
        </w:rPr>
        <w:t>2)     </w:t>
      </w:r>
      <w:r w:rsidR="00B24D97" w:rsidRPr="00D64309">
        <w:rPr>
          <w:rFonts w:cs="Arial"/>
        </w:rPr>
        <w:t>When no replacement is required (e.g. the transaction for that bureau is not required at all) or in the cases where it is not possible to delay cancellation until the replacement is ready to be raised, the transactions for the other bureau that have not been agreed should be re-released by the broker, resulting in the status of those transactions becoming the most recent and remedying the problem.</w:t>
      </w:r>
    </w:p>
    <w:p w:rsidR="00B24D97" w:rsidRPr="00E43829" w:rsidRDefault="00275D78" w:rsidP="00275D78">
      <w:pPr>
        <w:tabs>
          <w:tab w:val="left" w:pos="426"/>
        </w:tabs>
        <w:ind w:left="426" w:hanging="426"/>
        <w:jc w:val="left"/>
        <w:rPr>
          <w:rFonts w:cs="Arial"/>
        </w:rPr>
      </w:pPr>
      <w:r>
        <w:rPr>
          <w:rFonts w:cs="Arial"/>
        </w:rPr>
        <w:t>3)     </w:t>
      </w:r>
      <w:r w:rsidR="00B24D97" w:rsidRPr="00D64309">
        <w:rPr>
          <w:rFonts w:cs="Arial"/>
        </w:rPr>
        <w:t>As a last resort, when none of the action outlined above are feasible, the broker should contact the Xchanging Services desk and request a status change to the transaction of the bureau that remain valid.</w:t>
      </w:r>
    </w:p>
    <w:p w:rsidR="00B24D97" w:rsidRPr="00267352" w:rsidRDefault="004C3649" w:rsidP="00687624">
      <w:pPr>
        <w:pStyle w:val="Heading2"/>
      </w:pPr>
      <w:bookmarkStart w:id="461" w:name="DocumentRules"/>
      <w:bookmarkStart w:id="462" w:name="_Toc396989228"/>
      <w:bookmarkStart w:id="463" w:name="_Toc389214921"/>
      <w:bookmarkEnd w:id="461"/>
      <w:r w:rsidRPr="00267352">
        <w:rPr>
          <w:lang w:eastAsia="en-GB"/>
        </w:rPr>
        <w:t>Outbound DRI Notifications: Receipt of notifications for replacement lead</w:t>
      </w:r>
      <w:bookmarkEnd w:id="462"/>
      <w:r w:rsidRPr="00267352">
        <w:rPr>
          <w:lang w:eastAsia="en-GB"/>
        </w:rPr>
        <w:t xml:space="preserve"> </w:t>
      </w:r>
      <w:bookmarkEnd w:id="463"/>
    </w:p>
    <w:p w:rsidR="00B24D97" w:rsidRPr="00267352" w:rsidRDefault="00B24D97" w:rsidP="00A77BB1">
      <w:pPr>
        <w:autoSpaceDE w:val="0"/>
        <w:autoSpaceDN w:val="0"/>
        <w:adjustRightInd w:val="0"/>
        <w:spacing w:after="0"/>
        <w:jc w:val="left"/>
        <w:rPr>
          <w:rFonts w:cs="Arial"/>
          <w:lang w:eastAsia="en-GB"/>
        </w:rPr>
      </w:pPr>
    </w:p>
    <w:p w:rsidR="00B24D97" w:rsidRPr="00267352" w:rsidRDefault="004C3649" w:rsidP="00A77BB1">
      <w:pPr>
        <w:autoSpaceDE w:val="0"/>
        <w:autoSpaceDN w:val="0"/>
        <w:adjustRightInd w:val="0"/>
        <w:spacing w:after="0"/>
        <w:jc w:val="left"/>
        <w:rPr>
          <w:rFonts w:cs="Arial"/>
          <w:lang w:eastAsia="en-GB"/>
        </w:rPr>
      </w:pPr>
      <w:r w:rsidRPr="00687624">
        <w:rPr>
          <w:rFonts w:cs="Arial"/>
          <w:lang w:eastAsia="en-GB"/>
        </w:rPr>
        <w:t>Carriers may register to receive outbound DRI notifications for claims documents on claims for which they act as lead, agreement party and/or follower. Carriers should be aware that the notification of previously loaded documents is not supported.</w:t>
      </w:r>
    </w:p>
    <w:p w:rsidR="00B24D97" w:rsidRPr="00267352" w:rsidRDefault="00B24D97" w:rsidP="00A77BB1">
      <w:pPr>
        <w:autoSpaceDE w:val="0"/>
        <w:autoSpaceDN w:val="0"/>
        <w:adjustRightInd w:val="0"/>
        <w:spacing w:after="0"/>
        <w:jc w:val="left"/>
        <w:rPr>
          <w:rFonts w:cs="Arial"/>
          <w:lang w:eastAsia="en-GB"/>
        </w:rPr>
      </w:pPr>
    </w:p>
    <w:p w:rsidR="00B24D97" w:rsidRPr="00267352" w:rsidRDefault="004C3649" w:rsidP="00A77BB1">
      <w:pPr>
        <w:autoSpaceDE w:val="0"/>
        <w:autoSpaceDN w:val="0"/>
        <w:adjustRightInd w:val="0"/>
        <w:spacing w:after="0"/>
        <w:jc w:val="left"/>
        <w:rPr>
          <w:rFonts w:cs="Arial"/>
          <w:lang w:eastAsia="en-GB"/>
        </w:rPr>
      </w:pPr>
      <w:r w:rsidRPr="00687624">
        <w:rPr>
          <w:rFonts w:cs="Arial"/>
          <w:lang w:eastAsia="en-GB"/>
        </w:rPr>
        <w:t>Additionally, carriers will only receive a DRI notification for documents that have been loaded, in accordance with their DRI registration choices. There are a number of instances in which this will affect a carrier’s DRI notification as their role may change throughout the life of a claim. The following is provided by way of an example:</w:t>
      </w:r>
    </w:p>
    <w:p w:rsidR="00B24D97" w:rsidRPr="00267352" w:rsidRDefault="00B24D97" w:rsidP="00A77BB1">
      <w:pPr>
        <w:autoSpaceDE w:val="0"/>
        <w:autoSpaceDN w:val="0"/>
        <w:adjustRightInd w:val="0"/>
        <w:spacing w:after="0"/>
        <w:jc w:val="left"/>
        <w:rPr>
          <w:rFonts w:cs="Arial"/>
          <w:lang w:eastAsia="en-GB"/>
        </w:rPr>
      </w:pPr>
    </w:p>
    <w:p w:rsidR="00B24D97" w:rsidRPr="00267352" w:rsidRDefault="004C3649" w:rsidP="00A77BB1">
      <w:pPr>
        <w:tabs>
          <w:tab w:val="left" w:pos="900"/>
        </w:tabs>
        <w:ind w:left="900" w:hanging="540"/>
        <w:jc w:val="left"/>
        <w:rPr>
          <w:rFonts w:cs="Arial"/>
          <w:lang w:eastAsia="en-GB"/>
        </w:rPr>
      </w:pPr>
      <w:r w:rsidRPr="00687624">
        <w:rPr>
          <w:rFonts w:cs="Arial"/>
          <w:lang w:eastAsia="en-GB"/>
        </w:rPr>
        <w:t>1.</w:t>
      </w:r>
      <w:r w:rsidRPr="00687624">
        <w:rPr>
          <w:rFonts w:cs="Arial"/>
          <w:lang w:eastAsia="en-GB"/>
        </w:rPr>
        <w:tab/>
        <w:t>Managing Agent (A) and Managing Agent (B) have both registered for DRI notifications on claims where they are a Lead Agreement Party.</w:t>
      </w:r>
    </w:p>
    <w:p w:rsidR="00B24D97" w:rsidRPr="00267352" w:rsidRDefault="004C3649" w:rsidP="00A77BB1">
      <w:pPr>
        <w:tabs>
          <w:tab w:val="left" w:pos="900"/>
        </w:tabs>
        <w:ind w:left="900" w:hanging="540"/>
        <w:jc w:val="left"/>
        <w:rPr>
          <w:rFonts w:cs="Arial"/>
          <w:lang w:eastAsia="en-GB"/>
        </w:rPr>
      </w:pPr>
      <w:r w:rsidRPr="00687624">
        <w:rPr>
          <w:rFonts w:cs="Arial"/>
          <w:lang w:eastAsia="en-GB"/>
        </w:rPr>
        <w:t>2.</w:t>
      </w:r>
      <w:r w:rsidRPr="00687624">
        <w:rPr>
          <w:rFonts w:cs="Arial"/>
          <w:lang w:eastAsia="en-GB"/>
        </w:rPr>
        <w:tab/>
        <w:t>On a particular claim, (A) is the Lead Agreement Party and (B) is a follower. (B) will therefore receive no DRI notifications</w:t>
      </w:r>
    </w:p>
    <w:p w:rsidR="00B24D97" w:rsidRPr="00267352" w:rsidRDefault="004C3649" w:rsidP="00A77BB1">
      <w:pPr>
        <w:tabs>
          <w:tab w:val="left" w:pos="900"/>
        </w:tabs>
        <w:ind w:left="900" w:hanging="540"/>
        <w:jc w:val="left"/>
        <w:rPr>
          <w:rFonts w:cs="Arial"/>
          <w:lang w:eastAsia="en-GB"/>
        </w:rPr>
      </w:pPr>
      <w:r w:rsidRPr="00687624">
        <w:rPr>
          <w:rFonts w:cs="Arial"/>
          <w:lang w:eastAsia="en-GB"/>
        </w:rPr>
        <w:t>3.</w:t>
      </w:r>
      <w:r w:rsidRPr="00687624">
        <w:rPr>
          <w:rFonts w:cs="Arial"/>
          <w:lang w:eastAsia="en-GB"/>
        </w:rPr>
        <w:tab/>
        <w:t>Part way through the life of the claim, (A) declares a conflict of interest, (B) then takes over the Lead Agreement Party role.</w:t>
      </w:r>
    </w:p>
    <w:p w:rsidR="00B24D97" w:rsidRPr="00267352" w:rsidRDefault="004C3649" w:rsidP="00A77BB1">
      <w:pPr>
        <w:tabs>
          <w:tab w:val="left" w:pos="900"/>
        </w:tabs>
        <w:ind w:left="900" w:hanging="540"/>
        <w:jc w:val="left"/>
        <w:rPr>
          <w:rFonts w:cs="Arial"/>
          <w:lang w:eastAsia="en-GB"/>
        </w:rPr>
      </w:pPr>
      <w:r w:rsidRPr="00687624">
        <w:rPr>
          <w:rFonts w:cs="Arial"/>
          <w:lang w:eastAsia="en-GB"/>
        </w:rPr>
        <w:t>4.</w:t>
      </w:r>
      <w:r w:rsidRPr="00687624">
        <w:rPr>
          <w:rFonts w:cs="Arial"/>
          <w:lang w:eastAsia="en-GB"/>
        </w:rPr>
        <w:tab/>
        <w:t>(B) will begin to receive DRI notifications from the point at which it became the Lead Agreement Party, but will NOT receive notifications retrospectively, i.e. for documents loaded while (A) was still the lead.</w:t>
      </w:r>
    </w:p>
    <w:p w:rsidR="00B24D97" w:rsidRPr="00267352" w:rsidRDefault="004C3649" w:rsidP="00B24D97">
      <w:pPr>
        <w:tabs>
          <w:tab w:val="left" w:pos="900"/>
        </w:tabs>
        <w:jc w:val="left"/>
        <w:rPr>
          <w:rFonts w:cs="Arial"/>
          <w:i/>
          <w:color w:val="FF0000"/>
          <w:lang w:eastAsia="en-GB"/>
        </w:rPr>
      </w:pPr>
      <w:r w:rsidRPr="00687624">
        <w:rPr>
          <w:rFonts w:cs="Arial"/>
          <w:lang w:eastAsia="en-GB"/>
        </w:rPr>
        <w:t>Similarly, if a second agreement party is added to a transaction by a leader, the second agreement party will only receive documents that have been loaded from that point onwards, unless they have registered to receive documents in a follower capacity.</w:t>
      </w:r>
    </w:p>
    <w:p w:rsidR="00B24D97" w:rsidRPr="00267352" w:rsidRDefault="004C3649" w:rsidP="00A77BB1">
      <w:pPr>
        <w:autoSpaceDE w:val="0"/>
        <w:autoSpaceDN w:val="0"/>
        <w:adjustRightInd w:val="0"/>
        <w:spacing w:after="0"/>
        <w:jc w:val="left"/>
        <w:rPr>
          <w:rFonts w:cs="Arial"/>
          <w:lang w:eastAsia="en-GB"/>
        </w:rPr>
      </w:pPr>
      <w:r w:rsidRPr="00687624">
        <w:rPr>
          <w:rFonts w:cs="Arial"/>
          <w:lang w:eastAsia="en-GB"/>
        </w:rPr>
        <w:t>All documents will still be available in the IMR to all of the carriers that are on risk, as usual.</w:t>
      </w:r>
    </w:p>
    <w:p w:rsidR="00B24D97" w:rsidRPr="00267352" w:rsidRDefault="00B24D97" w:rsidP="00A77BB1">
      <w:pPr>
        <w:autoSpaceDE w:val="0"/>
        <w:autoSpaceDN w:val="0"/>
        <w:adjustRightInd w:val="0"/>
        <w:spacing w:after="0"/>
        <w:jc w:val="left"/>
        <w:rPr>
          <w:rFonts w:cs="Arial"/>
          <w:lang w:eastAsia="en-GB"/>
        </w:rPr>
      </w:pPr>
    </w:p>
    <w:p w:rsidR="00B24D97" w:rsidRPr="00267352" w:rsidRDefault="004C3649" w:rsidP="00A77BB1">
      <w:pPr>
        <w:autoSpaceDE w:val="0"/>
        <w:autoSpaceDN w:val="0"/>
        <w:adjustRightInd w:val="0"/>
        <w:spacing w:after="0"/>
        <w:jc w:val="left"/>
        <w:rPr>
          <w:rFonts w:cs="Arial"/>
          <w:lang w:eastAsia="en-GB"/>
        </w:rPr>
      </w:pPr>
      <w:r w:rsidRPr="00687624">
        <w:rPr>
          <w:rFonts w:cs="Arial"/>
          <w:lang w:eastAsia="en-GB"/>
        </w:rPr>
        <w:lastRenderedPageBreak/>
        <w:t>NB. Any carrier selecting to receive documents only on claims where they are a lead will only receive the documents if they are shown on ECF as the slip lead. If documents are required in a bureau lead position, the carrier should register as an ‘agreement party’.</w:t>
      </w:r>
    </w:p>
    <w:p w:rsidR="00B24D97" w:rsidRPr="00267352" w:rsidRDefault="00B24D97" w:rsidP="00A77BB1">
      <w:pPr>
        <w:autoSpaceDE w:val="0"/>
        <w:autoSpaceDN w:val="0"/>
        <w:adjustRightInd w:val="0"/>
        <w:spacing w:after="0"/>
        <w:jc w:val="left"/>
        <w:rPr>
          <w:rFonts w:cs="Arial"/>
          <w:lang w:eastAsia="en-GB"/>
        </w:rPr>
      </w:pPr>
    </w:p>
    <w:p w:rsidR="00B24D97" w:rsidRPr="00D64309" w:rsidRDefault="004C3649" w:rsidP="00A77BB1">
      <w:pPr>
        <w:autoSpaceDE w:val="0"/>
        <w:autoSpaceDN w:val="0"/>
        <w:adjustRightInd w:val="0"/>
        <w:spacing w:after="0"/>
        <w:jc w:val="left"/>
        <w:rPr>
          <w:rFonts w:cs="Arial"/>
          <w:lang w:eastAsia="en-GB"/>
        </w:rPr>
      </w:pPr>
      <w:r w:rsidRPr="00687624">
        <w:rPr>
          <w:rFonts w:cs="Arial"/>
          <w:lang w:eastAsia="en-GB"/>
        </w:rPr>
        <w:t>Further details on Outbound DRI notifications and functionality are available on the London Market Group website in the document ‘Implementation Guide for Outbound DRI notifications’.</w:t>
      </w:r>
    </w:p>
    <w:p w:rsidR="00B24D97" w:rsidRPr="00D64309" w:rsidRDefault="00B24D97" w:rsidP="007C13CF">
      <w:pPr>
        <w:rPr>
          <w:rFonts w:cs="Arial"/>
        </w:rPr>
      </w:pPr>
    </w:p>
    <w:p w:rsidR="00B24D97" w:rsidRPr="00FF6A5D" w:rsidRDefault="00B24D97" w:rsidP="00171B80">
      <w:pPr>
        <w:pStyle w:val="Heading1"/>
        <w:ind w:hanging="1080"/>
        <w:rPr>
          <w:rFonts w:cs="Arial"/>
        </w:rPr>
      </w:pPr>
      <w:bookmarkStart w:id="464" w:name="_APPENDIx_B_–"/>
      <w:bookmarkEnd w:id="464"/>
      <w:r w:rsidRPr="00D64309">
        <w:rPr>
          <w:rFonts w:cs="Arial"/>
        </w:rPr>
        <w:br w:type="page"/>
      </w:r>
      <w:bookmarkStart w:id="465" w:name="ECFBusinessProcesses"/>
      <w:bookmarkStart w:id="466" w:name="_Toc389214922"/>
      <w:bookmarkStart w:id="467" w:name="_Toc396989229"/>
      <w:bookmarkEnd w:id="465"/>
      <w:r w:rsidRPr="00FF6A5D">
        <w:rPr>
          <w:rFonts w:cs="Arial"/>
        </w:rPr>
        <w:lastRenderedPageBreak/>
        <w:t>APPENDIx B – Claims Process MAPS</w:t>
      </w:r>
      <w:bookmarkEnd w:id="466"/>
      <w:bookmarkEnd w:id="467"/>
    </w:p>
    <w:p w:rsidR="00B65455" w:rsidRPr="00B65455" w:rsidRDefault="00B65455" w:rsidP="00B65455">
      <w:pPr>
        <w:pStyle w:val="ListParagraph"/>
        <w:numPr>
          <w:ilvl w:val="0"/>
          <w:numId w:val="30"/>
        </w:numPr>
        <w:spacing w:before="240" w:after="120" w:line="240" w:lineRule="auto"/>
        <w:contextualSpacing w:val="0"/>
        <w:jc w:val="both"/>
        <w:outlineLvl w:val="1"/>
        <w:rPr>
          <w:rFonts w:ascii="Arial" w:hAnsi="Arial" w:cs="Arial"/>
          <w:b/>
          <w:vanish/>
          <w:sz w:val="20"/>
          <w:szCs w:val="20"/>
        </w:rPr>
      </w:pPr>
      <w:bookmarkStart w:id="468" w:name="_Toc395189681"/>
      <w:bookmarkStart w:id="469" w:name="_Toc395275353"/>
      <w:bookmarkStart w:id="470" w:name="_Toc395278272"/>
      <w:bookmarkStart w:id="471" w:name="_Toc395278509"/>
      <w:bookmarkStart w:id="472" w:name="_Toc395278651"/>
      <w:bookmarkStart w:id="473" w:name="_Toc395278782"/>
      <w:bookmarkStart w:id="474" w:name="_Toc395278911"/>
      <w:bookmarkStart w:id="475" w:name="_Toc395534994"/>
      <w:bookmarkStart w:id="476" w:name="_Toc395619562"/>
      <w:bookmarkStart w:id="477" w:name="_Toc396989230"/>
      <w:bookmarkStart w:id="478" w:name="_Toc112226801"/>
      <w:bookmarkStart w:id="479" w:name="_Toc134427262"/>
      <w:bookmarkStart w:id="480" w:name="_Toc142277020"/>
      <w:bookmarkStart w:id="481" w:name="_Toc144017832"/>
      <w:bookmarkStart w:id="482" w:name="_Toc389214923"/>
      <w:bookmarkEnd w:id="468"/>
      <w:bookmarkEnd w:id="469"/>
      <w:bookmarkEnd w:id="470"/>
      <w:bookmarkEnd w:id="471"/>
      <w:bookmarkEnd w:id="472"/>
      <w:bookmarkEnd w:id="473"/>
      <w:bookmarkEnd w:id="474"/>
      <w:bookmarkEnd w:id="475"/>
      <w:bookmarkEnd w:id="476"/>
      <w:bookmarkEnd w:id="477"/>
    </w:p>
    <w:p w:rsidR="00B65455" w:rsidRPr="00B65455" w:rsidRDefault="00B65455" w:rsidP="00B65455">
      <w:pPr>
        <w:pStyle w:val="ListParagraph"/>
        <w:numPr>
          <w:ilvl w:val="0"/>
          <w:numId w:val="30"/>
        </w:numPr>
        <w:spacing w:before="240" w:after="120" w:line="240" w:lineRule="auto"/>
        <w:contextualSpacing w:val="0"/>
        <w:jc w:val="both"/>
        <w:outlineLvl w:val="1"/>
        <w:rPr>
          <w:rFonts w:ascii="Arial" w:hAnsi="Arial" w:cs="Arial"/>
          <w:b/>
          <w:vanish/>
          <w:sz w:val="20"/>
          <w:szCs w:val="20"/>
        </w:rPr>
      </w:pPr>
      <w:bookmarkStart w:id="483" w:name="_Toc395189682"/>
      <w:bookmarkStart w:id="484" w:name="_Toc395275354"/>
      <w:bookmarkStart w:id="485" w:name="_Toc395278273"/>
      <w:bookmarkStart w:id="486" w:name="_Toc395278510"/>
      <w:bookmarkStart w:id="487" w:name="_Toc395278652"/>
      <w:bookmarkStart w:id="488" w:name="_Toc395278783"/>
      <w:bookmarkStart w:id="489" w:name="_Toc395278912"/>
      <w:bookmarkStart w:id="490" w:name="_Toc395534995"/>
      <w:bookmarkStart w:id="491" w:name="_Toc395619563"/>
      <w:bookmarkStart w:id="492" w:name="_Toc396989231"/>
      <w:bookmarkEnd w:id="483"/>
      <w:bookmarkEnd w:id="484"/>
      <w:bookmarkEnd w:id="485"/>
      <w:bookmarkEnd w:id="486"/>
      <w:bookmarkEnd w:id="487"/>
      <w:bookmarkEnd w:id="488"/>
      <w:bookmarkEnd w:id="489"/>
      <w:bookmarkEnd w:id="490"/>
      <w:bookmarkEnd w:id="491"/>
      <w:bookmarkEnd w:id="492"/>
    </w:p>
    <w:p w:rsidR="00B24D97" w:rsidRPr="00FF6A5D" w:rsidRDefault="00B24D97" w:rsidP="00893EB3">
      <w:pPr>
        <w:pStyle w:val="Heading2"/>
      </w:pPr>
      <w:bookmarkStart w:id="493" w:name="_Toc396989232"/>
      <w:r w:rsidRPr="00FF6A5D">
        <w:t>ECF Business Process Model</w:t>
      </w:r>
      <w:bookmarkEnd w:id="478"/>
      <w:bookmarkEnd w:id="479"/>
      <w:bookmarkEnd w:id="480"/>
      <w:bookmarkEnd w:id="481"/>
      <w:bookmarkEnd w:id="482"/>
      <w:bookmarkEnd w:id="493"/>
    </w:p>
    <w:p w:rsidR="00B24D97" w:rsidRPr="00D64309" w:rsidRDefault="00F82629" w:rsidP="00FA6717">
      <w:pPr>
        <w:rPr>
          <w:rFonts w:cs="Arial"/>
        </w:rPr>
      </w:pPr>
      <w:r>
        <w:rPr>
          <w:rFonts w:cs="Arial"/>
          <w:noProof/>
          <w:lang w:eastAsia="en-GB"/>
        </w:rPr>
        <w:drawing>
          <wp:inline distT="0" distB="0" distL="0" distR="0" wp14:anchorId="0BF9DD96" wp14:editId="0BB687E8">
            <wp:extent cx="5591810" cy="8027035"/>
            <wp:effectExtent l="19050" t="0" r="8890" b="0"/>
            <wp:docPr id="29" name="Picture 45" descr="ECF%20Business%20Process%20model%202006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F%20Business%20Process%20model%2020060901"/>
                    <pic:cNvPicPr>
                      <a:picLocks noChangeAspect="1" noChangeArrowheads="1"/>
                    </pic:cNvPicPr>
                  </pic:nvPicPr>
                  <pic:blipFill>
                    <a:blip r:embed="rId44" cstate="print"/>
                    <a:srcRect/>
                    <a:stretch>
                      <a:fillRect/>
                    </a:stretch>
                  </pic:blipFill>
                  <pic:spPr bwMode="auto">
                    <a:xfrm>
                      <a:off x="0" y="0"/>
                      <a:ext cx="5591810" cy="8027035"/>
                    </a:xfrm>
                    <a:prstGeom prst="rect">
                      <a:avLst/>
                    </a:prstGeom>
                    <a:noFill/>
                    <a:ln w="9525">
                      <a:noFill/>
                      <a:miter lim="800000"/>
                      <a:headEnd/>
                      <a:tailEnd/>
                    </a:ln>
                  </pic:spPr>
                </pic:pic>
              </a:graphicData>
            </a:graphic>
          </wp:inline>
        </w:drawing>
      </w:r>
    </w:p>
    <w:p w:rsidR="00B24D97" w:rsidRPr="00D64309" w:rsidRDefault="00B24D97" w:rsidP="00171B80">
      <w:pPr>
        <w:pStyle w:val="Heading2"/>
        <w:ind w:left="426" w:hanging="426"/>
        <w:rPr>
          <w:rFonts w:cs="Arial"/>
        </w:rPr>
      </w:pPr>
      <w:bookmarkStart w:id="494" w:name="_Toc112226802"/>
      <w:bookmarkStart w:id="495" w:name="_Toc134427263"/>
      <w:r w:rsidRPr="00D64309">
        <w:rPr>
          <w:rFonts w:cs="Arial"/>
        </w:rPr>
        <w:br w:type="page"/>
      </w:r>
      <w:bookmarkStart w:id="496" w:name="ECFBusinessProcessGroupedByProcess"/>
      <w:bookmarkStart w:id="497" w:name="_Toc142277021"/>
      <w:bookmarkStart w:id="498" w:name="_Toc144017833"/>
      <w:bookmarkStart w:id="499" w:name="_Toc389214924"/>
      <w:bookmarkStart w:id="500" w:name="_Toc396989233"/>
      <w:bookmarkEnd w:id="496"/>
      <w:r w:rsidRPr="00D64309">
        <w:rPr>
          <w:rFonts w:cs="Arial"/>
        </w:rPr>
        <w:lastRenderedPageBreak/>
        <w:t>ECF Business Process Model – Grouped by Process</w:t>
      </w:r>
      <w:bookmarkEnd w:id="494"/>
      <w:bookmarkEnd w:id="495"/>
      <w:bookmarkEnd w:id="497"/>
      <w:bookmarkEnd w:id="498"/>
      <w:bookmarkEnd w:id="499"/>
      <w:bookmarkEnd w:id="500"/>
    </w:p>
    <w:p w:rsidR="00B24D97" w:rsidRPr="00D64309" w:rsidRDefault="00F82629" w:rsidP="00FA6717">
      <w:pPr>
        <w:rPr>
          <w:rFonts w:cs="Arial"/>
        </w:rPr>
      </w:pPr>
      <w:r>
        <w:rPr>
          <w:rFonts w:cs="Arial"/>
          <w:noProof/>
          <w:lang w:eastAsia="en-GB"/>
        </w:rPr>
        <w:drawing>
          <wp:inline distT="0" distB="0" distL="0" distR="0" wp14:anchorId="74887C89" wp14:editId="331E88E2">
            <wp:extent cx="5737225" cy="8229600"/>
            <wp:effectExtent l="19050" t="0" r="0" b="0"/>
            <wp:docPr id="30" name="Picture 46" descr="ECF%20Business%20Process%20model%20grouped%20by%20process%202006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F%20Business%20Process%20model%20grouped%20by%20process%2020060901"/>
                    <pic:cNvPicPr>
                      <a:picLocks noChangeAspect="1" noChangeArrowheads="1"/>
                    </pic:cNvPicPr>
                  </pic:nvPicPr>
                  <pic:blipFill>
                    <a:blip r:embed="rId45" cstate="print"/>
                    <a:srcRect/>
                    <a:stretch>
                      <a:fillRect/>
                    </a:stretch>
                  </pic:blipFill>
                  <pic:spPr bwMode="auto">
                    <a:xfrm>
                      <a:off x="0" y="0"/>
                      <a:ext cx="5737225" cy="8229600"/>
                    </a:xfrm>
                    <a:prstGeom prst="rect">
                      <a:avLst/>
                    </a:prstGeom>
                    <a:noFill/>
                    <a:ln w="9525">
                      <a:noFill/>
                      <a:miter lim="800000"/>
                      <a:headEnd/>
                      <a:tailEnd/>
                    </a:ln>
                  </pic:spPr>
                </pic:pic>
              </a:graphicData>
            </a:graphic>
          </wp:inline>
        </w:drawing>
      </w:r>
    </w:p>
    <w:p w:rsidR="00B24D97" w:rsidRPr="00D64309" w:rsidRDefault="00B24D97" w:rsidP="00FA6717">
      <w:pPr>
        <w:rPr>
          <w:rFonts w:cs="Arial"/>
        </w:rPr>
      </w:pPr>
    </w:p>
    <w:p w:rsidR="00A37229" w:rsidRPr="00A37229" w:rsidRDefault="00B24D97" w:rsidP="00A37229">
      <w:pPr>
        <w:pStyle w:val="Heading1"/>
        <w:ind w:hanging="1080"/>
      </w:pPr>
      <w:bookmarkStart w:id="501" w:name="_Toc389214925"/>
      <w:bookmarkStart w:id="502" w:name="_Toc396989234"/>
      <w:r w:rsidRPr="00A37229">
        <w:rPr>
          <w:rFonts w:cs="Arial"/>
        </w:rPr>
        <w:lastRenderedPageBreak/>
        <w:t>APPENDIX C – Glossary</w:t>
      </w:r>
      <w:bookmarkEnd w:id="501"/>
      <w:bookmarkEnd w:id="502"/>
    </w:p>
    <w:tbl>
      <w:tblPr>
        <w:tblpPr w:leftFromText="180" w:rightFromText="180" w:vertAnchor="text" w:horzAnchor="page" w:tblpX="2653" w:tblpY="1"/>
        <w:tblOverlap w:val="never"/>
        <w:tblW w:w="0" w:type="auto"/>
        <w:tblBorders>
          <w:top w:val="single" w:sz="6" w:space="0" w:color="auto"/>
          <w:left w:val="single" w:sz="6" w:space="0" w:color="auto"/>
          <w:bottom w:val="single" w:sz="6" w:space="0" w:color="auto"/>
          <w:right w:val="single" w:sz="6" w:space="0" w:color="auto"/>
          <w:insideV w:val="single" w:sz="6" w:space="0" w:color="auto"/>
        </w:tblBorders>
        <w:tblLook w:val="01E0" w:firstRow="1" w:lastRow="1" w:firstColumn="1" w:lastColumn="1" w:noHBand="0" w:noVBand="0"/>
      </w:tblPr>
      <w:tblGrid>
        <w:gridCol w:w="1618"/>
        <w:gridCol w:w="5232"/>
      </w:tblGrid>
      <w:tr w:rsidR="00B24D97" w:rsidRPr="00D64309" w:rsidTr="00A37229">
        <w:trPr>
          <w:trHeight w:val="272"/>
        </w:trPr>
        <w:tc>
          <w:tcPr>
            <w:tcW w:w="1618" w:type="dxa"/>
            <w:tcBorders>
              <w:top w:val="single" w:sz="6" w:space="0" w:color="auto"/>
              <w:bottom w:val="single" w:sz="6" w:space="0" w:color="auto"/>
            </w:tcBorders>
            <w:shd w:val="solid" w:color="C0C0C0" w:fill="FFFFFF"/>
          </w:tcPr>
          <w:p w:rsidR="00B24D97" w:rsidRPr="00A37229" w:rsidRDefault="00B24D97" w:rsidP="00E461D7">
            <w:pPr>
              <w:spacing w:after="0"/>
              <w:jc w:val="center"/>
              <w:rPr>
                <w:rFonts w:cs="Arial"/>
                <w:b/>
                <w:bCs/>
                <w:i/>
                <w:iCs/>
                <w:sz w:val="18"/>
                <w:szCs w:val="18"/>
              </w:rPr>
            </w:pPr>
            <w:r w:rsidRPr="00A37229">
              <w:rPr>
                <w:rFonts w:cs="Arial"/>
                <w:b/>
                <w:bCs/>
                <w:i/>
                <w:iCs/>
                <w:sz w:val="18"/>
                <w:szCs w:val="18"/>
              </w:rPr>
              <w:t>Term</w:t>
            </w:r>
          </w:p>
        </w:tc>
        <w:tc>
          <w:tcPr>
            <w:tcW w:w="5232" w:type="dxa"/>
            <w:tcBorders>
              <w:top w:val="single" w:sz="6" w:space="0" w:color="auto"/>
              <w:bottom w:val="single" w:sz="6" w:space="0" w:color="auto"/>
            </w:tcBorders>
            <w:shd w:val="solid" w:color="C0C0C0" w:fill="FFFFFF"/>
          </w:tcPr>
          <w:p w:rsidR="00B24D97" w:rsidRPr="00A37229" w:rsidRDefault="00B24D97" w:rsidP="00E461D7">
            <w:pPr>
              <w:spacing w:after="0"/>
              <w:jc w:val="center"/>
              <w:rPr>
                <w:rFonts w:cs="Arial"/>
                <w:b/>
                <w:bCs/>
                <w:i/>
                <w:iCs/>
                <w:sz w:val="18"/>
                <w:szCs w:val="18"/>
              </w:rPr>
            </w:pPr>
            <w:r w:rsidRPr="00A37229">
              <w:rPr>
                <w:rFonts w:cs="Arial"/>
                <w:b/>
                <w:bCs/>
                <w:i/>
                <w:iCs/>
                <w:sz w:val="18"/>
                <w:szCs w:val="18"/>
              </w:rPr>
              <w:t>Definition</w:t>
            </w:r>
          </w:p>
        </w:tc>
      </w:tr>
      <w:tr w:rsidR="00B24D97" w:rsidRPr="00D64309" w:rsidTr="00A37229">
        <w:trPr>
          <w:trHeight w:val="272"/>
        </w:trPr>
        <w:tc>
          <w:tcPr>
            <w:tcW w:w="1618" w:type="dxa"/>
            <w:tcBorders>
              <w:top w:val="single" w:sz="6" w:space="0" w:color="auto"/>
            </w:tcBorders>
            <w:shd w:val="solid" w:color="C0C0C0" w:fill="FFFFFF"/>
          </w:tcPr>
          <w:p w:rsidR="00B24D97" w:rsidRPr="00A37229" w:rsidRDefault="00B24D97" w:rsidP="00E461D7">
            <w:pPr>
              <w:spacing w:after="0"/>
              <w:rPr>
                <w:rFonts w:cs="Arial"/>
                <w:sz w:val="16"/>
                <w:szCs w:val="16"/>
              </w:rPr>
            </w:pPr>
            <w:r w:rsidRPr="00A37229">
              <w:rPr>
                <w:rFonts w:cs="Arial"/>
                <w:sz w:val="16"/>
                <w:szCs w:val="16"/>
              </w:rPr>
              <w:t>ACL</w:t>
            </w:r>
          </w:p>
        </w:tc>
        <w:tc>
          <w:tcPr>
            <w:tcW w:w="5232" w:type="dxa"/>
            <w:tcBorders>
              <w:top w:val="single" w:sz="6" w:space="0" w:color="auto"/>
            </w:tcBorders>
            <w:shd w:val="solid" w:color="C0C0C0" w:fill="FFFFFF"/>
          </w:tcPr>
          <w:p w:rsidR="00B24D97" w:rsidRPr="00A37229" w:rsidRDefault="00B24D97" w:rsidP="00E461D7">
            <w:pPr>
              <w:spacing w:after="0"/>
              <w:rPr>
                <w:rFonts w:cs="Arial"/>
                <w:sz w:val="16"/>
                <w:szCs w:val="16"/>
              </w:rPr>
            </w:pPr>
            <w:r w:rsidRPr="00A37229">
              <w:rPr>
                <w:rFonts w:cs="Arial"/>
                <w:sz w:val="16"/>
                <w:szCs w:val="16"/>
              </w:rPr>
              <w:t>Access Control List</w:t>
            </w:r>
          </w:p>
        </w:tc>
      </w:tr>
      <w:tr w:rsidR="00B24D97" w:rsidRPr="00D64309" w:rsidTr="00A37229">
        <w:trPr>
          <w:trHeight w:val="272"/>
        </w:trPr>
        <w:tc>
          <w:tcPr>
            <w:tcW w:w="1618" w:type="dxa"/>
          </w:tcPr>
          <w:p w:rsidR="00B24D97" w:rsidRPr="00A37229" w:rsidRDefault="00B24D97" w:rsidP="00E461D7">
            <w:pPr>
              <w:spacing w:after="0"/>
              <w:rPr>
                <w:rFonts w:cs="Arial"/>
                <w:sz w:val="16"/>
                <w:szCs w:val="16"/>
              </w:rPr>
            </w:pPr>
            <w:r w:rsidRPr="00A37229">
              <w:rPr>
                <w:rFonts w:cs="Arial"/>
                <w:sz w:val="16"/>
                <w:szCs w:val="16"/>
              </w:rPr>
              <w:t>ACORD</w:t>
            </w:r>
          </w:p>
        </w:tc>
        <w:tc>
          <w:tcPr>
            <w:tcW w:w="5232" w:type="dxa"/>
          </w:tcPr>
          <w:p w:rsidR="00B24D97" w:rsidRPr="00A37229" w:rsidRDefault="00B24D97" w:rsidP="00E461D7">
            <w:pPr>
              <w:spacing w:after="0"/>
              <w:rPr>
                <w:rFonts w:cs="Arial"/>
                <w:sz w:val="16"/>
                <w:szCs w:val="16"/>
              </w:rPr>
            </w:pPr>
            <w:r w:rsidRPr="00A37229">
              <w:rPr>
                <w:rFonts w:cs="Arial"/>
                <w:sz w:val="16"/>
                <w:szCs w:val="16"/>
              </w:rPr>
              <w:t>Association for Cooperative Operations Research and Development</w:t>
            </w:r>
          </w:p>
        </w:tc>
      </w:tr>
      <w:tr w:rsidR="00B24D97" w:rsidRPr="00D64309" w:rsidTr="00A37229">
        <w:trPr>
          <w:trHeight w:val="272"/>
        </w:trPr>
        <w:tc>
          <w:tcPr>
            <w:tcW w:w="1618" w:type="dxa"/>
            <w:shd w:val="solid" w:color="C0C0C0" w:fill="FFFFFF"/>
          </w:tcPr>
          <w:p w:rsidR="00B24D97" w:rsidRPr="00A37229" w:rsidRDefault="00B24D97" w:rsidP="00E461D7">
            <w:pPr>
              <w:spacing w:after="0"/>
              <w:rPr>
                <w:rFonts w:cs="Arial"/>
                <w:sz w:val="16"/>
                <w:szCs w:val="16"/>
              </w:rPr>
            </w:pPr>
            <w:r w:rsidRPr="00A37229">
              <w:rPr>
                <w:rFonts w:cs="Arial"/>
                <w:sz w:val="16"/>
                <w:szCs w:val="16"/>
              </w:rPr>
              <w:t>BSM</w:t>
            </w:r>
          </w:p>
        </w:tc>
        <w:tc>
          <w:tcPr>
            <w:tcW w:w="5232" w:type="dxa"/>
            <w:shd w:val="solid" w:color="C0C0C0" w:fill="FFFFFF"/>
          </w:tcPr>
          <w:p w:rsidR="00B24D97" w:rsidRPr="00A37229" w:rsidRDefault="00B24D97" w:rsidP="00E461D7">
            <w:pPr>
              <w:spacing w:after="0"/>
              <w:rPr>
                <w:rFonts w:cs="Arial"/>
                <w:sz w:val="16"/>
                <w:szCs w:val="16"/>
              </w:rPr>
            </w:pPr>
            <w:r w:rsidRPr="00A37229">
              <w:rPr>
                <w:rFonts w:cs="Arial"/>
                <w:sz w:val="16"/>
                <w:szCs w:val="16"/>
              </w:rPr>
              <w:t>Broker’s Signing Message</w:t>
            </w:r>
          </w:p>
        </w:tc>
      </w:tr>
      <w:tr w:rsidR="00B24D97" w:rsidRPr="00D64309" w:rsidTr="00A37229">
        <w:trPr>
          <w:trHeight w:val="272"/>
        </w:trPr>
        <w:tc>
          <w:tcPr>
            <w:tcW w:w="1618" w:type="dxa"/>
          </w:tcPr>
          <w:p w:rsidR="00B24D97" w:rsidRPr="00A37229" w:rsidRDefault="00B24D97" w:rsidP="00E461D7">
            <w:pPr>
              <w:spacing w:after="0"/>
              <w:rPr>
                <w:rFonts w:cs="Arial"/>
                <w:sz w:val="16"/>
                <w:szCs w:val="16"/>
              </w:rPr>
            </w:pPr>
            <w:r w:rsidRPr="00A37229">
              <w:rPr>
                <w:rFonts w:cs="Arial"/>
                <w:sz w:val="16"/>
                <w:szCs w:val="16"/>
              </w:rPr>
              <w:t>BECC</w:t>
            </w:r>
          </w:p>
        </w:tc>
        <w:tc>
          <w:tcPr>
            <w:tcW w:w="5232" w:type="dxa"/>
          </w:tcPr>
          <w:p w:rsidR="00B24D97" w:rsidRPr="00A37229" w:rsidRDefault="00B24D97" w:rsidP="00E461D7">
            <w:pPr>
              <w:spacing w:after="0"/>
              <w:rPr>
                <w:rFonts w:cs="Arial"/>
                <w:sz w:val="16"/>
                <w:szCs w:val="16"/>
              </w:rPr>
            </w:pPr>
            <w:r w:rsidRPr="00A37229">
              <w:rPr>
                <w:rFonts w:cs="Arial"/>
                <w:sz w:val="16"/>
                <w:szCs w:val="16"/>
              </w:rPr>
              <w:t>Brokers’ Electronic Claims Committee (LIIBA sub-committee)</w:t>
            </w:r>
          </w:p>
        </w:tc>
      </w:tr>
      <w:tr w:rsidR="00B24D97" w:rsidRPr="00D64309" w:rsidTr="00A37229">
        <w:trPr>
          <w:trHeight w:val="272"/>
        </w:trPr>
        <w:tc>
          <w:tcPr>
            <w:tcW w:w="1618" w:type="dxa"/>
            <w:shd w:val="solid" w:color="C0C0C0" w:fill="FFFFFF"/>
          </w:tcPr>
          <w:p w:rsidR="00B24D97" w:rsidRPr="00A37229" w:rsidRDefault="00B24D97" w:rsidP="00E461D7">
            <w:pPr>
              <w:spacing w:after="0"/>
              <w:rPr>
                <w:rFonts w:cs="Arial"/>
                <w:sz w:val="16"/>
                <w:szCs w:val="16"/>
              </w:rPr>
            </w:pPr>
            <w:r w:rsidRPr="00A37229">
              <w:rPr>
                <w:rFonts w:cs="Arial"/>
                <w:sz w:val="16"/>
                <w:szCs w:val="16"/>
              </w:rPr>
              <w:t>Carrier</w:t>
            </w:r>
          </w:p>
        </w:tc>
        <w:tc>
          <w:tcPr>
            <w:tcW w:w="5232" w:type="dxa"/>
            <w:shd w:val="solid" w:color="C0C0C0" w:fill="FFFFFF"/>
          </w:tcPr>
          <w:p w:rsidR="00B24D97" w:rsidRPr="00A37229" w:rsidRDefault="00B24D97" w:rsidP="00E461D7">
            <w:pPr>
              <w:spacing w:after="0"/>
              <w:rPr>
                <w:rFonts w:cs="Arial"/>
                <w:sz w:val="16"/>
                <w:szCs w:val="16"/>
              </w:rPr>
            </w:pPr>
            <w:r w:rsidRPr="00A37229">
              <w:rPr>
                <w:rFonts w:cs="Arial"/>
                <w:sz w:val="16"/>
                <w:szCs w:val="16"/>
              </w:rPr>
              <w:t>Generic term for underwriters in the London Insurance Market</w:t>
            </w:r>
          </w:p>
        </w:tc>
      </w:tr>
      <w:tr w:rsidR="00B24D97" w:rsidRPr="00D64309" w:rsidTr="00A37229">
        <w:trPr>
          <w:trHeight w:val="272"/>
        </w:trPr>
        <w:tc>
          <w:tcPr>
            <w:tcW w:w="1618" w:type="dxa"/>
          </w:tcPr>
          <w:p w:rsidR="00B24D97" w:rsidRPr="00A37229" w:rsidRDefault="00B24D97" w:rsidP="00E461D7">
            <w:pPr>
              <w:spacing w:after="0"/>
              <w:rPr>
                <w:rFonts w:cs="Arial"/>
                <w:sz w:val="16"/>
                <w:szCs w:val="16"/>
              </w:rPr>
            </w:pPr>
            <w:r w:rsidRPr="00A37229">
              <w:rPr>
                <w:rFonts w:cs="Arial"/>
                <w:sz w:val="16"/>
                <w:szCs w:val="16"/>
              </w:rPr>
              <w:t>CLASS</w:t>
            </w:r>
          </w:p>
        </w:tc>
        <w:tc>
          <w:tcPr>
            <w:tcW w:w="5232" w:type="dxa"/>
          </w:tcPr>
          <w:p w:rsidR="00B24D97" w:rsidRPr="00A37229" w:rsidRDefault="00B24D97" w:rsidP="00E461D7">
            <w:pPr>
              <w:spacing w:after="0"/>
              <w:rPr>
                <w:rFonts w:cs="Arial"/>
                <w:sz w:val="16"/>
                <w:szCs w:val="16"/>
              </w:rPr>
            </w:pPr>
            <w:r w:rsidRPr="00A37229">
              <w:rPr>
                <w:rFonts w:cs="Arial"/>
                <w:sz w:val="16"/>
                <w:szCs w:val="16"/>
              </w:rPr>
              <w:t>Claims Loss Advice and Settlement System</w:t>
            </w:r>
          </w:p>
        </w:tc>
      </w:tr>
      <w:tr w:rsidR="00B24D97" w:rsidRPr="00D64309" w:rsidTr="00A37229">
        <w:trPr>
          <w:trHeight w:val="272"/>
        </w:trPr>
        <w:tc>
          <w:tcPr>
            <w:tcW w:w="1618" w:type="dxa"/>
            <w:shd w:val="solid" w:color="C0C0C0" w:fill="FFFFFF"/>
          </w:tcPr>
          <w:p w:rsidR="00B24D97" w:rsidRPr="00A37229" w:rsidRDefault="00B24D97" w:rsidP="00E461D7">
            <w:pPr>
              <w:spacing w:after="0"/>
              <w:rPr>
                <w:rFonts w:cs="Arial"/>
                <w:sz w:val="16"/>
                <w:szCs w:val="16"/>
              </w:rPr>
            </w:pPr>
            <w:r w:rsidRPr="00A37229">
              <w:rPr>
                <w:rFonts w:cs="Arial"/>
                <w:sz w:val="16"/>
                <w:szCs w:val="16"/>
              </w:rPr>
              <w:t>CLASS@Lloyd’s</w:t>
            </w:r>
          </w:p>
        </w:tc>
        <w:tc>
          <w:tcPr>
            <w:tcW w:w="5232" w:type="dxa"/>
            <w:shd w:val="solid" w:color="C0C0C0" w:fill="FFFFFF"/>
          </w:tcPr>
          <w:p w:rsidR="00B24D97" w:rsidRPr="00A37229" w:rsidRDefault="00B24D97" w:rsidP="00E461D7">
            <w:pPr>
              <w:spacing w:after="0"/>
              <w:rPr>
                <w:rFonts w:cs="Arial"/>
                <w:sz w:val="16"/>
                <w:szCs w:val="16"/>
              </w:rPr>
            </w:pPr>
            <w:r w:rsidRPr="00A37229">
              <w:rPr>
                <w:rFonts w:cs="Arial"/>
                <w:sz w:val="16"/>
                <w:szCs w:val="16"/>
              </w:rPr>
              <w:t>CLASS system specific to the Lloyd’s market</w:t>
            </w:r>
          </w:p>
        </w:tc>
      </w:tr>
      <w:tr w:rsidR="00B24D97" w:rsidRPr="00D64309" w:rsidTr="00A37229">
        <w:trPr>
          <w:trHeight w:val="272"/>
        </w:trPr>
        <w:tc>
          <w:tcPr>
            <w:tcW w:w="1618" w:type="dxa"/>
            <w:tcBorders>
              <w:bottom w:val="nil"/>
            </w:tcBorders>
          </w:tcPr>
          <w:p w:rsidR="00B24D97" w:rsidRPr="00A37229" w:rsidRDefault="00B24D97" w:rsidP="00E461D7">
            <w:pPr>
              <w:spacing w:after="0"/>
              <w:rPr>
                <w:rFonts w:cs="Arial"/>
                <w:sz w:val="16"/>
                <w:szCs w:val="16"/>
              </w:rPr>
            </w:pPr>
            <w:r w:rsidRPr="00A37229">
              <w:rPr>
                <w:rFonts w:cs="Arial"/>
                <w:sz w:val="16"/>
                <w:szCs w:val="16"/>
              </w:rPr>
              <w:t>CAF</w:t>
            </w:r>
          </w:p>
        </w:tc>
        <w:tc>
          <w:tcPr>
            <w:tcW w:w="5232" w:type="dxa"/>
            <w:tcBorders>
              <w:bottom w:val="nil"/>
            </w:tcBorders>
          </w:tcPr>
          <w:p w:rsidR="00A37229" w:rsidRPr="00A37229" w:rsidRDefault="00B24D97" w:rsidP="00A37229">
            <w:pPr>
              <w:spacing w:after="0"/>
              <w:rPr>
                <w:rFonts w:cs="Arial"/>
                <w:sz w:val="16"/>
                <w:szCs w:val="16"/>
              </w:rPr>
            </w:pPr>
            <w:r w:rsidRPr="00A37229">
              <w:rPr>
                <w:rFonts w:cs="Arial"/>
                <w:sz w:val="16"/>
                <w:szCs w:val="16"/>
              </w:rPr>
              <w:t>Claims Agreement for Follower</w:t>
            </w:r>
            <w:r w:rsidR="00A37229" w:rsidRPr="00A37229">
              <w:rPr>
                <w:rFonts w:cs="Arial"/>
                <w:sz w:val="16"/>
                <w:szCs w:val="16"/>
              </w:rPr>
              <w:t>s</w:t>
            </w:r>
          </w:p>
        </w:tc>
      </w:tr>
      <w:tr w:rsidR="00A37229" w:rsidRPr="00D64309" w:rsidTr="00A37229">
        <w:trPr>
          <w:trHeight w:val="272"/>
        </w:trPr>
        <w:tc>
          <w:tcPr>
            <w:tcW w:w="1618" w:type="dxa"/>
            <w:tcBorders>
              <w:top w:val="nil"/>
              <w:bottom w:val="nil"/>
            </w:tcBorders>
            <w:shd w:val="pct25" w:color="auto" w:fill="auto"/>
          </w:tcPr>
          <w:p w:rsidR="00A37229" w:rsidRPr="00A37229" w:rsidRDefault="00A37229" w:rsidP="00E461D7">
            <w:pPr>
              <w:spacing w:after="0"/>
              <w:rPr>
                <w:rFonts w:cs="Arial"/>
                <w:sz w:val="16"/>
                <w:szCs w:val="16"/>
              </w:rPr>
            </w:pPr>
            <w:r w:rsidRPr="00A37229">
              <w:rPr>
                <w:rFonts w:cs="Arial"/>
                <w:sz w:val="16"/>
                <w:szCs w:val="16"/>
              </w:rPr>
              <w:t>CAS</w:t>
            </w:r>
          </w:p>
        </w:tc>
        <w:tc>
          <w:tcPr>
            <w:tcW w:w="5232" w:type="dxa"/>
            <w:tcBorders>
              <w:top w:val="nil"/>
              <w:bottom w:val="nil"/>
            </w:tcBorders>
            <w:shd w:val="pct25" w:color="auto" w:fill="auto"/>
          </w:tcPr>
          <w:p w:rsidR="00A37229" w:rsidRPr="00A37229" w:rsidRDefault="00A37229" w:rsidP="00A37229">
            <w:pPr>
              <w:spacing w:after="0"/>
              <w:rPr>
                <w:rFonts w:cs="Arial"/>
                <w:sz w:val="16"/>
                <w:szCs w:val="16"/>
              </w:rPr>
            </w:pPr>
            <w:r w:rsidRPr="00A37229">
              <w:rPr>
                <w:rFonts w:cs="Arial"/>
                <w:sz w:val="16"/>
                <w:szCs w:val="16"/>
              </w:rPr>
              <w:t>Claims Agreement Screens (ECF2)</w:t>
            </w:r>
          </w:p>
        </w:tc>
      </w:tr>
      <w:tr w:rsidR="00B24D97" w:rsidRPr="00D64309" w:rsidTr="00A37229">
        <w:trPr>
          <w:trHeight w:val="272"/>
        </w:trPr>
        <w:tc>
          <w:tcPr>
            <w:tcW w:w="1618" w:type="dxa"/>
            <w:tcBorders>
              <w:top w:val="nil"/>
              <w:bottom w:val="nil"/>
            </w:tcBorders>
            <w:shd w:val="clear" w:color="C0C0C0" w:fill="FFFFFF"/>
          </w:tcPr>
          <w:p w:rsidR="00B24D97" w:rsidRPr="00A37229" w:rsidRDefault="00B24D97" w:rsidP="00E461D7">
            <w:pPr>
              <w:spacing w:after="0"/>
              <w:rPr>
                <w:rFonts w:cs="Arial"/>
                <w:sz w:val="16"/>
                <w:szCs w:val="16"/>
              </w:rPr>
            </w:pPr>
            <w:r w:rsidRPr="00A37229">
              <w:rPr>
                <w:rFonts w:cs="Arial"/>
                <w:sz w:val="16"/>
                <w:szCs w:val="16"/>
              </w:rPr>
              <w:t>Cat Code</w:t>
            </w:r>
          </w:p>
        </w:tc>
        <w:tc>
          <w:tcPr>
            <w:tcW w:w="5232" w:type="dxa"/>
            <w:tcBorders>
              <w:top w:val="nil"/>
              <w:bottom w:val="nil"/>
            </w:tcBorders>
            <w:shd w:val="clear" w:color="C0C0C0" w:fill="FFFFFF"/>
          </w:tcPr>
          <w:p w:rsidR="00B24D97" w:rsidRPr="00A37229" w:rsidRDefault="00B24D97" w:rsidP="00E461D7">
            <w:pPr>
              <w:spacing w:after="0"/>
              <w:rPr>
                <w:rFonts w:cs="Arial"/>
                <w:sz w:val="16"/>
                <w:szCs w:val="16"/>
              </w:rPr>
            </w:pPr>
            <w:r w:rsidRPr="00A37229">
              <w:rPr>
                <w:rFonts w:cs="Arial"/>
                <w:sz w:val="16"/>
                <w:szCs w:val="16"/>
              </w:rPr>
              <w:t>This is the Lloyd’s Catastrophe Code</w:t>
            </w:r>
          </w:p>
        </w:tc>
      </w:tr>
      <w:tr w:rsidR="00B24D97" w:rsidRPr="00D64309" w:rsidTr="00A37229">
        <w:trPr>
          <w:trHeight w:val="272"/>
        </w:trPr>
        <w:tc>
          <w:tcPr>
            <w:tcW w:w="1618" w:type="dxa"/>
            <w:tcBorders>
              <w:top w:val="nil"/>
              <w:bottom w:val="nil"/>
            </w:tcBorders>
            <w:shd w:val="pct25" w:color="auto" w:fill="auto"/>
          </w:tcPr>
          <w:p w:rsidR="00B24D97" w:rsidRPr="00A37229" w:rsidRDefault="00B24D97" w:rsidP="00E461D7">
            <w:pPr>
              <w:spacing w:after="0"/>
              <w:rPr>
                <w:rFonts w:cs="Arial"/>
                <w:sz w:val="16"/>
                <w:szCs w:val="16"/>
              </w:rPr>
            </w:pPr>
            <w:r w:rsidRPr="00A37229">
              <w:rPr>
                <w:rFonts w:cs="Arial"/>
                <w:sz w:val="16"/>
                <w:szCs w:val="16"/>
              </w:rPr>
              <w:t>COR</w:t>
            </w:r>
          </w:p>
        </w:tc>
        <w:tc>
          <w:tcPr>
            <w:tcW w:w="5232" w:type="dxa"/>
            <w:tcBorders>
              <w:top w:val="nil"/>
              <w:bottom w:val="nil"/>
            </w:tcBorders>
            <w:shd w:val="pct25" w:color="auto" w:fill="auto"/>
          </w:tcPr>
          <w:p w:rsidR="00B24D97" w:rsidRPr="00A37229" w:rsidRDefault="00B24D97" w:rsidP="00E461D7">
            <w:pPr>
              <w:spacing w:after="0"/>
              <w:rPr>
                <w:rFonts w:cs="Arial"/>
                <w:sz w:val="16"/>
                <w:szCs w:val="16"/>
              </w:rPr>
            </w:pPr>
            <w:r w:rsidRPr="00A37229">
              <w:rPr>
                <w:rFonts w:cs="Arial"/>
                <w:sz w:val="16"/>
                <w:szCs w:val="16"/>
              </w:rPr>
              <w:t>Claims Office Reference</w:t>
            </w:r>
          </w:p>
        </w:tc>
      </w:tr>
      <w:tr w:rsidR="00A37229" w:rsidRPr="00D64309" w:rsidTr="00A37229">
        <w:trPr>
          <w:trHeight w:val="272"/>
        </w:trPr>
        <w:tc>
          <w:tcPr>
            <w:tcW w:w="1618" w:type="dxa"/>
            <w:tcBorders>
              <w:top w:val="nil"/>
              <w:bottom w:val="nil"/>
            </w:tcBorders>
          </w:tcPr>
          <w:p w:rsidR="00A37229" w:rsidRPr="00A37229" w:rsidRDefault="00A37229" w:rsidP="00E461D7">
            <w:pPr>
              <w:spacing w:after="0"/>
              <w:rPr>
                <w:rFonts w:cs="Arial"/>
                <w:sz w:val="16"/>
                <w:szCs w:val="16"/>
              </w:rPr>
            </w:pPr>
            <w:r w:rsidRPr="00A37229">
              <w:rPr>
                <w:rFonts w:cs="Arial"/>
                <w:sz w:val="16"/>
                <w:szCs w:val="16"/>
              </w:rPr>
              <w:t>CTP</w:t>
            </w:r>
          </w:p>
        </w:tc>
        <w:tc>
          <w:tcPr>
            <w:tcW w:w="5232" w:type="dxa"/>
            <w:tcBorders>
              <w:top w:val="nil"/>
              <w:bottom w:val="nil"/>
            </w:tcBorders>
          </w:tcPr>
          <w:p w:rsidR="00A37229" w:rsidRPr="00A37229" w:rsidRDefault="00A37229" w:rsidP="00E461D7">
            <w:pPr>
              <w:spacing w:after="0"/>
              <w:rPr>
                <w:rFonts w:cs="Arial"/>
                <w:sz w:val="16"/>
                <w:szCs w:val="16"/>
              </w:rPr>
            </w:pPr>
            <w:r w:rsidRPr="00A37229">
              <w:rPr>
                <w:rFonts w:cs="Arial"/>
                <w:sz w:val="16"/>
                <w:szCs w:val="16"/>
              </w:rPr>
              <w:t>Claims Transformation Programme (2010 claims scheme)</w:t>
            </w:r>
          </w:p>
        </w:tc>
      </w:tr>
      <w:tr w:rsidR="00A37229" w:rsidRPr="00D64309" w:rsidTr="00A37229">
        <w:trPr>
          <w:trHeight w:val="272"/>
        </w:trPr>
        <w:tc>
          <w:tcPr>
            <w:tcW w:w="1618" w:type="dxa"/>
            <w:tcBorders>
              <w:top w:val="nil"/>
              <w:bottom w:val="nil"/>
            </w:tcBorders>
            <w:shd w:val="pct25" w:color="auto" w:fill="auto"/>
          </w:tcPr>
          <w:p w:rsidR="00A37229" w:rsidRPr="00A37229" w:rsidRDefault="00A37229" w:rsidP="00E461D7">
            <w:pPr>
              <w:spacing w:after="0"/>
              <w:rPr>
                <w:rFonts w:cs="Arial"/>
                <w:sz w:val="16"/>
                <w:szCs w:val="16"/>
              </w:rPr>
            </w:pPr>
            <w:r w:rsidRPr="00A37229">
              <w:rPr>
                <w:rFonts w:cs="Arial"/>
                <w:sz w:val="16"/>
                <w:szCs w:val="16"/>
              </w:rPr>
              <w:t>CWS</w:t>
            </w:r>
          </w:p>
        </w:tc>
        <w:tc>
          <w:tcPr>
            <w:tcW w:w="5232" w:type="dxa"/>
            <w:tcBorders>
              <w:top w:val="nil"/>
              <w:bottom w:val="nil"/>
            </w:tcBorders>
            <w:shd w:val="pct25" w:color="auto" w:fill="auto"/>
          </w:tcPr>
          <w:p w:rsidR="00A37229" w:rsidRPr="00A37229" w:rsidRDefault="00A37229" w:rsidP="00A37229">
            <w:pPr>
              <w:spacing w:after="0"/>
              <w:rPr>
                <w:rFonts w:cs="Arial"/>
                <w:sz w:val="16"/>
                <w:szCs w:val="16"/>
              </w:rPr>
            </w:pPr>
            <w:r w:rsidRPr="00A37229">
              <w:rPr>
                <w:rFonts w:cs="Arial"/>
                <w:sz w:val="16"/>
                <w:szCs w:val="16"/>
              </w:rPr>
              <w:t>Claim Workflow Services</w:t>
            </w:r>
          </w:p>
        </w:tc>
      </w:tr>
      <w:tr w:rsidR="00A37229" w:rsidRPr="00D64309" w:rsidTr="00A37229">
        <w:trPr>
          <w:trHeight w:val="272"/>
        </w:trPr>
        <w:tc>
          <w:tcPr>
            <w:tcW w:w="1618" w:type="dxa"/>
            <w:tcBorders>
              <w:top w:val="nil"/>
              <w:bottom w:val="nil"/>
            </w:tcBorders>
          </w:tcPr>
          <w:p w:rsidR="00A37229" w:rsidRPr="00A37229" w:rsidRDefault="00A37229" w:rsidP="00A37229">
            <w:pPr>
              <w:spacing w:after="0"/>
              <w:rPr>
                <w:rFonts w:cs="Arial"/>
                <w:sz w:val="16"/>
                <w:szCs w:val="16"/>
              </w:rPr>
            </w:pPr>
            <w:r w:rsidRPr="00A37229">
              <w:rPr>
                <w:rFonts w:cs="Arial"/>
                <w:sz w:val="16"/>
                <w:szCs w:val="16"/>
              </w:rPr>
              <w:t>CWT</w:t>
            </w:r>
          </w:p>
        </w:tc>
        <w:tc>
          <w:tcPr>
            <w:tcW w:w="5232" w:type="dxa"/>
            <w:tcBorders>
              <w:top w:val="nil"/>
              <w:bottom w:val="nil"/>
            </w:tcBorders>
          </w:tcPr>
          <w:p w:rsidR="00A37229" w:rsidRPr="00A37229" w:rsidRDefault="00A37229" w:rsidP="00A37229">
            <w:pPr>
              <w:spacing w:after="0"/>
              <w:rPr>
                <w:rFonts w:cs="Arial"/>
                <w:sz w:val="16"/>
                <w:szCs w:val="16"/>
              </w:rPr>
            </w:pPr>
            <w:r w:rsidRPr="00A37229">
              <w:rPr>
                <w:rFonts w:cs="Arial"/>
                <w:sz w:val="16"/>
                <w:szCs w:val="16"/>
              </w:rPr>
              <w:t>Claim Workflow Triggers</w:t>
            </w:r>
          </w:p>
        </w:tc>
      </w:tr>
      <w:tr w:rsidR="00A37229" w:rsidRPr="00D64309" w:rsidTr="00A37229">
        <w:trPr>
          <w:trHeight w:val="272"/>
        </w:trPr>
        <w:tc>
          <w:tcPr>
            <w:tcW w:w="1618" w:type="dxa"/>
            <w:tcBorders>
              <w:top w:val="nil"/>
              <w:bottom w:val="nil"/>
            </w:tcBorders>
            <w:shd w:val="pct25" w:color="auto" w:fill="auto"/>
          </w:tcPr>
          <w:p w:rsidR="00A37229" w:rsidRPr="00A37229" w:rsidRDefault="00A37229" w:rsidP="00A37229">
            <w:pPr>
              <w:spacing w:after="0"/>
              <w:rPr>
                <w:rFonts w:cs="Arial"/>
                <w:sz w:val="16"/>
                <w:szCs w:val="16"/>
              </w:rPr>
            </w:pPr>
            <w:r w:rsidRPr="00A37229">
              <w:rPr>
                <w:rFonts w:cs="Arial"/>
                <w:sz w:val="16"/>
                <w:szCs w:val="16"/>
              </w:rPr>
              <w:t>DFV</w:t>
            </w:r>
          </w:p>
        </w:tc>
        <w:tc>
          <w:tcPr>
            <w:tcW w:w="5232" w:type="dxa"/>
            <w:tcBorders>
              <w:top w:val="nil"/>
              <w:bottom w:val="nil"/>
            </w:tcBorders>
            <w:shd w:val="pct25" w:color="auto" w:fill="auto"/>
          </w:tcPr>
          <w:p w:rsidR="00A37229" w:rsidRPr="00A37229" w:rsidRDefault="00A37229" w:rsidP="00A37229">
            <w:pPr>
              <w:spacing w:after="0"/>
              <w:rPr>
                <w:rFonts w:cs="Arial"/>
                <w:sz w:val="16"/>
                <w:szCs w:val="16"/>
              </w:rPr>
            </w:pPr>
            <w:r w:rsidRPr="00A37229">
              <w:rPr>
                <w:rFonts w:cs="Arial"/>
                <w:sz w:val="16"/>
                <w:szCs w:val="16"/>
              </w:rPr>
              <w:t>Document File Viewer</w:t>
            </w:r>
          </w:p>
        </w:tc>
      </w:tr>
      <w:tr w:rsidR="00A37229" w:rsidRPr="00D64309" w:rsidTr="00A37229">
        <w:trPr>
          <w:trHeight w:val="272"/>
        </w:trPr>
        <w:tc>
          <w:tcPr>
            <w:tcW w:w="1618" w:type="dxa"/>
            <w:tcBorders>
              <w:top w:val="nil"/>
              <w:bottom w:val="nil"/>
            </w:tcBorders>
            <w:shd w:val="clear" w:color="C0C0C0" w:fill="FFFFFF"/>
          </w:tcPr>
          <w:p w:rsidR="00A37229" w:rsidRPr="00A37229" w:rsidRDefault="00A37229" w:rsidP="00A37229">
            <w:pPr>
              <w:spacing w:after="0"/>
              <w:rPr>
                <w:rFonts w:cs="Arial"/>
                <w:sz w:val="16"/>
                <w:szCs w:val="16"/>
              </w:rPr>
            </w:pPr>
            <w:r w:rsidRPr="00A37229">
              <w:rPr>
                <w:rFonts w:cs="Arial"/>
                <w:sz w:val="16"/>
                <w:szCs w:val="16"/>
              </w:rPr>
              <w:t>DRI</w:t>
            </w:r>
          </w:p>
        </w:tc>
        <w:tc>
          <w:tcPr>
            <w:tcW w:w="5232" w:type="dxa"/>
            <w:tcBorders>
              <w:top w:val="nil"/>
              <w:bottom w:val="nil"/>
            </w:tcBorders>
            <w:shd w:val="clear" w:color="C0C0C0" w:fill="FFFFFF"/>
          </w:tcPr>
          <w:p w:rsidR="00A37229" w:rsidRPr="00A37229" w:rsidRDefault="00A37229" w:rsidP="00A37229">
            <w:pPr>
              <w:spacing w:after="0"/>
              <w:rPr>
                <w:rFonts w:cs="Arial"/>
                <w:sz w:val="16"/>
                <w:szCs w:val="16"/>
              </w:rPr>
            </w:pPr>
            <w:r w:rsidRPr="00A37229">
              <w:rPr>
                <w:rFonts w:cs="Arial"/>
                <w:sz w:val="16"/>
                <w:szCs w:val="16"/>
              </w:rPr>
              <w:t>Document Repository Interoperability</w:t>
            </w:r>
          </w:p>
        </w:tc>
      </w:tr>
      <w:tr w:rsidR="00A37229" w:rsidRPr="00D64309" w:rsidTr="00A37229">
        <w:trPr>
          <w:trHeight w:val="272"/>
        </w:trPr>
        <w:tc>
          <w:tcPr>
            <w:tcW w:w="1618" w:type="dxa"/>
            <w:tcBorders>
              <w:top w:val="nil"/>
              <w:bottom w:val="nil"/>
            </w:tcBorders>
            <w:shd w:val="pct25" w:color="auto" w:fill="auto"/>
          </w:tcPr>
          <w:p w:rsidR="00A37229" w:rsidRPr="00A37229" w:rsidRDefault="00A37229" w:rsidP="00A37229">
            <w:pPr>
              <w:spacing w:after="0"/>
              <w:rPr>
                <w:rFonts w:cs="Arial"/>
                <w:sz w:val="16"/>
                <w:szCs w:val="16"/>
              </w:rPr>
            </w:pPr>
            <w:r w:rsidRPr="00A37229">
              <w:rPr>
                <w:rFonts w:cs="Arial"/>
                <w:sz w:val="16"/>
                <w:szCs w:val="16"/>
              </w:rPr>
              <w:t>ECF</w:t>
            </w:r>
          </w:p>
        </w:tc>
        <w:tc>
          <w:tcPr>
            <w:tcW w:w="5232" w:type="dxa"/>
            <w:tcBorders>
              <w:top w:val="nil"/>
              <w:bottom w:val="nil"/>
            </w:tcBorders>
            <w:shd w:val="pct25" w:color="auto" w:fill="auto"/>
          </w:tcPr>
          <w:p w:rsidR="00A37229" w:rsidRPr="00A37229" w:rsidRDefault="00A37229" w:rsidP="00A37229">
            <w:pPr>
              <w:spacing w:after="0"/>
              <w:rPr>
                <w:rFonts w:cs="Arial"/>
                <w:sz w:val="16"/>
                <w:szCs w:val="16"/>
              </w:rPr>
            </w:pPr>
            <w:r w:rsidRPr="00A37229">
              <w:rPr>
                <w:rFonts w:cs="Arial"/>
                <w:sz w:val="16"/>
                <w:szCs w:val="16"/>
              </w:rPr>
              <w:t>Electronic Claims File. This is the amalgamation of CLASS@Lloyd’s and the Insurer’s Market Repository.</w:t>
            </w:r>
          </w:p>
        </w:tc>
      </w:tr>
      <w:tr w:rsidR="00A37229" w:rsidRPr="00D64309" w:rsidTr="00A37229">
        <w:trPr>
          <w:trHeight w:val="272"/>
        </w:trPr>
        <w:tc>
          <w:tcPr>
            <w:tcW w:w="1618" w:type="dxa"/>
            <w:tcBorders>
              <w:top w:val="nil"/>
            </w:tcBorders>
          </w:tcPr>
          <w:p w:rsidR="00A37229" w:rsidRPr="00A37229" w:rsidRDefault="00A37229" w:rsidP="00A37229">
            <w:pPr>
              <w:spacing w:after="0"/>
              <w:rPr>
                <w:rFonts w:cs="Arial"/>
                <w:sz w:val="16"/>
                <w:szCs w:val="16"/>
              </w:rPr>
            </w:pPr>
            <w:r w:rsidRPr="00A37229">
              <w:rPr>
                <w:rFonts w:cs="Arial"/>
                <w:sz w:val="16"/>
                <w:szCs w:val="16"/>
              </w:rPr>
              <w:t>ECF2</w:t>
            </w:r>
          </w:p>
        </w:tc>
        <w:tc>
          <w:tcPr>
            <w:tcW w:w="5232" w:type="dxa"/>
            <w:tcBorders>
              <w:top w:val="nil"/>
            </w:tcBorders>
          </w:tcPr>
          <w:p w:rsidR="00A37229" w:rsidRPr="00A37229" w:rsidRDefault="00A37229" w:rsidP="00A37229">
            <w:pPr>
              <w:spacing w:after="0"/>
              <w:rPr>
                <w:rFonts w:cs="Arial"/>
                <w:sz w:val="16"/>
                <w:szCs w:val="16"/>
              </w:rPr>
            </w:pPr>
            <w:r w:rsidRPr="00A37229">
              <w:rPr>
                <w:rFonts w:cs="Arial"/>
                <w:sz w:val="16"/>
                <w:szCs w:val="16"/>
              </w:rPr>
              <w:t>Enhancement of ECF</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ECPG</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Electronic Claims Practitioners Group (LMA sub-committee of LMCG)</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EDI</w:t>
            </w:r>
          </w:p>
        </w:tc>
        <w:tc>
          <w:tcPr>
            <w:tcW w:w="5232" w:type="dxa"/>
          </w:tcPr>
          <w:p w:rsidR="00A37229" w:rsidRPr="00A37229" w:rsidRDefault="00A37229" w:rsidP="00A37229">
            <w:pPr>
              <w:spacing w:after="0"/>
              <w:rPr>
                <w:rFonts w:cs="Arial"/>
                <w:sz w:val="16"/>
                <w:szCs w:val="16"/>
              </w:rPr>
            </w:pPr>
            <w:r w:rsidRPr="00A37229">
              <w:rPr>
                <w:rFonts w:cs="Arial"/>
                <w:sz w:val="16"/>
                <w:szCs w:val="16"/>
              </w:rPr>
              <w:t>Electronic Data Interchange</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GUI</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Graphical User Interface</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ILU</w:t>
            </w:r>
          </w:p>
        </w:tc>
        <w:tc>
          <w:tcPr>
            <w:tcW w:w="5232" w:type="dxa"/>
          </w:tcPr>
          <w:p w:rsidR="00A37229" w:rsidRPr="00A37229" w:rsidRDefault="00A37229" w:rsidP="00A37229">
            <w:pPr>
              <w:spacing w:after="0"/>
              <w:rPr>
                <w:rFonts w:cs="Arial"/>
                <w:sz w:val="16"/>
                <w:szCs w:val="16"/>
              </w:rPr>
            </w:pPr>
            <w:r w:rsidRPr="00A37229">
              <w:rPr>
                <w:rFonts w:cs="Arial"/>
                <w:sz w:val="16"/>
                <w:szCs w:val="16"/>
              </w:rPr>
              <w:t>Institute of London Underwriters</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IMR</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Insurer’s Market Repository</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IUA</w:t>
            </w:r>
          </w:p>
        </w:tc>
        <w:tc>
          <w:tcPr>
            <w:tcW w:w="5232" w:type="dxa"/>
          </w:tcPr>
          <w:p w:rsidR="00A37229" w:rsidRPr="00A37229" w:rsidRDefault="00A37229" w:rsidP="00A37229">
            <w:pPr>
              <w:spacing w:after="0"/>
              <w:rPr>
                <w:rFonts w:cs="Arial"/>
                <w:sz w:val="16"/>
                <w:szCs w:val="16"/>
              </w:rPr>
            </w:pPr>
            <w:r w:rsidRPr="00A37229">
              <w:rPr>
                <w:rFonts w:cs="Arial"/>
                <w:sz w:val="16"/>
                <w:szCs w:val="16"/>
              </w:rPr>
              <w:t>International Underwriting Association</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LIMCLM</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London Insurance Market Claims Message</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LMA</w:t>
            </w:r>
          </w:p>
        </w:tc>
        <w:tc>
          <w:tcPr>
            <w:tcW w:w="5232" w:type="dxa"/>
          </w:tcPr>
          <w:p w:rsidR="00A37229" w:rsidRPr="00A37229" w:rsidRDefault="00A37229" w:rsidP="00A37229">
            <w:pPr>
              <w:spacing w:after="0"/>
              <w:rPr>
                <w:rFonts w:cs="Arial"/>
                <w:sz w:val="16"/>
                <w:szCs w:val="16"/>
              </w:rPr>
            </w:pPr>
            <w:r w:rsidRPr="00A37229">
              <w:rPr>
                <w:rFonts w:cs="Arial"/>
                <w:sz w:val="16"/>
                <w:szCs w:val="16"/>
              </w:rPr>
              <w:t>Lloyd’s Market Association</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LIIBA</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London and International Insurance Brokers Association (formerly LMBC)</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LMCG</w:t>
            </w:r>
          </w:p>
        </w:tc>
        <w:tc>
          <w:tcPr>
            <w:tcW w:w="5232" w:type="dxa"/>
          </w:tcPr>
          <w:p w:rsidR="00A37229" w:rsidRPr="00A37229" w:rsidRDefault="00A37229" w:rsidP="00A37229">
            <w:pPr>
              <w:spacing w:after="0"/>
              <w:rPr>
                <w:rFonts w:cs="Arial"/>
                <w:sz w:val="16"/>
                <w:szCs w:val="16"/>
              </w:rPr>
            </w:pPr>
            <w:r w:rsidRPr="00A37229">
              <w:rPr>
                <w:rFonts w:cs="Arial"/>
                <w:sz w:val="16"/>
                <w:szCs w:val="16"/>
              </w:rPr>
              <w:t>Lloyd’s Market Claims Group (LMA committee)</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LMP</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London Market Principles</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LOC</w:t>
            </w:r>
          </w:p>
        </w:tc>
        <w:tc>
          <w:tcPr>
            <w:tcW w:w="5232" w:type="dxa"/>
          </w:tcPr>
          <w:p w:rsidR="00A37229" w:rsidRPr="00A37229" w:rsidRDefault="00A37229" w:rsidP="00A37229">
            <w:pPr>
              <w:spacing w:after="0"/>
              <w:rPr>
                <w:rFonts w:cs="Arial"/>
                <w:sz w:val="16"/>
                <w:szCs w:val="16"/>
              </w:rPr>
            </w:pPr>
            <w:r w:rsidRPr="00A37229">
              <w:rPr>
                <w:rFonts w:cs="Arial"/>
                <w:sz w:val="16"/>
                <w:szCs w:val="16"/>
              </w:rPr>
              <w:t>Letter of Credit</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MGA</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Managing General Agent</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LMG</w:t>
            </w:r>
          </w:p>
        </w:tc>
        <w:tc>
          <w:tcPr>
            <w:tcW w:w="5232" w:type="dxa"/>
          </w:tcPr>
          <w:p w:rsidR="00A37229" w:rsidRPr="00A37229" w:rsidRDefault="00A37229" w:rsidP="00A37229">
            <w:pPr>
              <w:spacing w:after="0"/>
              <w:rPr>
                <w:rFonts w:cs="Arial"/>
                <w:sz w:val="16"/>
                <w:szCs w:val="16"/>
              </w:rPr>
            </w:pPr>
            <w:r w:rsidRPr="00A37229">
              <w:rPr>
                <w:rFonts w:cs="Arial"/>
                <w:sz w:val="16"/>
                <w:szCs w:val="16"/>
              </w:rPr>
              <w:t>London Market Group (formerly Market Reform Office)</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OCA</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Outstanding Claims Advance</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SCM</w:t>
            </w:r>
          </w:p>
        </w:tc>
        <w:tc>
          <w:tcPr>
            <w:tcW w:w="5232" w:type="dxa"/>
          </w:tcPr>
          <w:p w:rsidR="00A37229" w:rsidRPr="00A37229" w:rsidRDefault="00A37229" w:rsidP="00A37229">
            <w:pPr>
              <w:spacing w:after="0"/>
              <w:rPr>
                <w:rFonts w:cs="Arial"/>
                <w:sz w:val="16"/>
                <w:szCs w:val="16"/>
              </w:rPr>
            </w:pPr>
            <w:r w:rsidRPr="00A37229">
              <w:rPr>
                <w:rFonts w:cs="Arial"/>
                <w:sz w:val="16"/>
                <w:szCs w:val="16"/>
              </w:rPr>
              <w:t>Syndicate Claims Message</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Syndicate</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Lloyd’s Underwriters</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TR</w:t>
            </w:r>
          </w:p>
        </w:tc>
        <w:tc>
          <w:tcPr>
            <w:tcW w:w="5232" w:type="dxa"/>
          </w:tcPr>
          <w:p w:rsidR="00A37229" w:rsidRPr="00A37229" w:rsidRDefault="00A37229" w:rsidP="00A37229">
            <w:pPr>
              <w:spacing w:after="0"/>
              <w:rPr>
                <w:rFonts w:cs="Arial"/>
                <w:sz w:val="16"/>
                <w:szCs w:val="16"/>
              </w:rPr>
            </w:pPr>
            <w:r w:rsidRPr="00A37229">
              <w:rPr>
                <w:rFonts w:cs="Arial"/>
                <w:sz w:val="16"/>
                <w:szCs w:val="16"/>
              </w:rPr>
              <w:t>Transaction Reference</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UCR</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Unique Claims Reference</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UMR</w:t>
            </w:r>
          </w:p>
        </w:tc>
        <w:tc>
          <w:tcPr>
            <w:tcW w:w="5232" w:type="dxa"/>
          </w:tcPr>
          <w:p w:rsidR="00A37229" w:rsidRPr="00A37229" w:rsidRDefault="00A37229" w:rsidP="00A37229">
            <w:pPr>
              <w:spacing w:after="0"/>
              <w:rPr>
                <w:rFonts w:cs="Arial"/>
                <w:sz w:val="16"/>
                <w:szCs w:val="16"/>
              </w:rPr>
            </w:pPr>
            <w:r w:rsidRPr="00A37229">
              <w:rPr>
                <w:rFonts w:cs="Arial"/>
                <w:sz w:val="16"/>
                <w:szCs w:val="16"/>
              </w:rPr>
              <w:t>Unique Market Reference</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User</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A user is a broker, carrier, Agreement Party or anyone else who has access to the system</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USM</w:t>
            </w:r>
          </w:p>
        </w:tc>
        <w:tc>
          <w:tcPr>
            <w:tcW w:w="5232" w:type="dxa"/>
          </w:tcPr>
          <w:p w:rsidR="00A37229" w:rsidRPr="00A37229" w:rsidRDefault="00A37229" w:rsidP="00A37229">
            <w:pPr>
              <w:spacing w:after="0"/>
              <w:rPr>
                <w:rFonts w:cs="Arial"/>
                <w:sz w:val="16"/>
                <w:szCs w:val="16"/>
              </w:rPr>
            </w:pPr>
            <w:r w:rsidRPr="00A37229">
              <w:rPr>
                <w:rFonts w:cs="Arial"/>
                <w:sz w:val="16"/>
                <w:szCs w:val="16"/>
              </w:rPr>
              <w:t>Underwriter’s Signing Message</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VCS</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Volume Claim Service: A shared outsourced claims management service for Lloyd’s managing agents</w:t>
            </w:r>
          </w:p>
        </w:tc>
      </w:tr>
      <w:tr w:rsidR="00A37229" w:rsidRPr="00D64309" w:rsidTr="00A37229">
        <w:trPr>
          <w:trHeight w:val="272"/>
        </w:trPr>
        <w:tc>
          <w:tcPr>
            <w:tcW w:w="1618" w:type="dxa"/>
            <w:shd w:val="solid" w:color="C0C0C0" w:fill="FFFFFF"/>
          </w:tcPr>
          <w:p w:rsidR="00A37229" w:rsidRPr="00A37229" w:rsidRDefault="00A37229" w:rsidP="00A37229">
            <w:pPr>
              <w:spacing w:after="0"/>
              <w:rPr>
                <w:rFonts w:cs="Arial"/>
                <w:sz w:val="16"/>
                <w:szCs w:val="16"/>
              </w:rPr>
            </w:pPr>
            <w:r w:rsidRPr="00A37229">
              <w:rPr>
                <w:rFonts w:cs="Arial"/>
                <w:sz w:val="16"/>
                <w:szCs w:val="16"/>
              </w:rPr>
              <w:t>XCR</w:t>
            </w:r>
          </w:p>
        </w:tc>
        <w:tc>
          <w:tcPr>
            <w:tcW w:w="5232" w:type="dxa"/>
            <w:shd w:val="solid" w:color="C0C0C0" w:fill="FFFFFF"/>
          </w:tcPr>
          <w:p w:rsidR="00A37229" w:rsidRPr="00A37229" w:rsidRDefault="00A37229" w:rsidP="00A37229">
            <w:pPr>
              <w:spacing w:after="0"/>
              <w:rPr>
                <w:rFonts w:cs="Arial"/>
                <w:sz w:val="16"/>
                <w:szCs w:val="16"/>
              </w:rPr>
            </w:pPr>
            <w:r w:rsidRPr="00A37229">
              <w:rPr>
                <w:rFonts w:cs="Arial"/>
                <w:sz w:val="16"/>
                <w:szCs w:val="16"/>
              </w:rPr>
              <w:t>Xchanging Claims Reference</w:t>
            </w:r>
          </w:p>
        </w:tc>
      </w:tr>
      <w:tr w:rsidR="00A37229" w:rsidRPr="00D64309" w:rsidTr="00A37229">
        <w:trPr>
          <w:trHeight w:val="272"/>
        </w:trPr>
        <w:tc>
          <w:tcPr>
            <w:tcW w:w="1618" w:type="dxa"/>
          </w:tcPr>
          <w:p w:rsidR="00A37229" w:rsidRPr="00A37229" w:rsidRDefault="00A37229" w:rsidP="00A37229">
            <w:pPr>
              <w:spacing w:after="0"/>
              <w:rPr>
                <w:rFonts w:cs="Arial"/>
                <w:sz w:val="16"/>
                <w:szCs w:val="16"/>
              </w:rPr>
            </w:pPr>
            <w:r w:rsidRPr="00A37229">
              <w:rPr>
                <w:rFonts w:cs="Arial"/>
                <w:sz w:val="16"/>
                <w:szCs w:val="16"/>
              </w:rPr>
              <w:t>XCS</w:t>
            </w:r>
          </w:p>
        </w:tc>
        <w:tc>
          <w:tcPr>
            <w:tcW w:w="5232" w:type="dxa"/>
          </w:tcPr>
          <w:p w:rsidR="00A37229" w:rsidRPr="00A37229" w:rsidRDefault="00A37229" w:rsidP="00A37229">
            <w:pPr>
              <w:spacing w:after="0"/>
              <w:rPr>
                <w:rFonts w:cs="Arial"/>
                <w:sz w:val="16"/>
                <w:szCs w:val="16"/>
              </w:rPr>
            </w:pPr>
            <w:r w:rsidRPr="00A37229">
              <w:rPr>
                <w:rFonts w:cs="Arial"/>
                <w:sz w:val="16"/>
                <w:szCs w:val="16"/>
              </w:rPr>
              <w:t>Xchanging Claims Services</w:t>
            </w:r>
          </w:p>
        </w:tc>
      </w:tr>
      <w:tr w:rsidR="00A37229" w:rsidRPr="00D64309" w:rsidTr="00A37229">
        <w:trPr>
          <w:trHeight w:val="272"/>
        </w:trPr>
        <w:tc>
          <w:tcPr>
            <w:tcW w:w="1618" w:type="dxa"/>
            <w:tcBorders>
              <w:bottom w:val="nil"/>
            </w:tcBorders>
            <w:shd w:val="solid" w:color="C0C0C0" w:fill="FFFFFF"/>
          </w:tcPr>
          <w:p w:rsidR="00A37229" w:rsidRPr="00A37229" w:rsidRDefault="00A37229" w:rsidP="00A37229">
            <w:pPr>
              <w:spacing w:after="0"/>
              <w:rPr>
                <w:rFonts w:cs="Arial"/>
                <w:sz w:val="16"/>
                <w:szCs w:val="16"/>
              </w:rPr>
            </w:pPr>
            <w:r w:rsidRPr="00A37229">
              <w:rPr>
                <w:rFonts w:cs="Arial"/>
                <w:sz w:val="16"/>
                <w:szCs w:val="16"/>
              </w:rPr>
              <w:t>XCS CLASS</w:t>
            </w:r>
          </w:p>
        </w:tc>
        <w:tc>
          <w:tcPr>
            <w:tcW w:w="5232" w:type="dxa"/>
            <w:tcBorders>
              <w:bottom w:val="nil"/>
            </w:tcBorders>
            <w:shd w:val="solid" w:color="C0C0C0" w:fill="FFFFFF"/>
          </w:tcPr>
          <w:p w:rsidR="00A37229" w:rsidRPr="00A37229" w:rsidRDefault="00A37229" w:rsidP="00A37229">
            <w:pPr>
              <w:spacing w:after="0"/>
              <w:rPr>
                <w:rFonts w:cs="Arial"/>
                <w:sz w:val="16"/>
                <w:szCs w:val="16"/>
              </w:rPr>
            </w:pPr>
            <w:r w:rsidRPr="00A37229">
              <w:rPr>
                <w:rFonts w:cs="Arial"/>
                <w:sz w:val="16"/>
                <w:szCs w:val="16"/>
              </w:rPr>
              <w:t>CLASS system used for back office processing by XCS (also known as Converged CLASS)</w:t>
            </w:r>
          </w:p>
        </w:tc>
      </w:tr>
      <w:tr w:rsidR="00A37229" w:rsidRPr="00D64309" w:rsidTr="00A37229">
        <w:trPr>
          <w:trHeight w:val="272"/>
        </w:trPr>
        <w:tc>
          <w:tcPr>
            <w:tcW w:w="1618" w:type="dxa"/>
            <w:tcBorders>
              <w:bottom w:val="nil"/>
            </w:tcBorders>
          </w:tcPr>
          <w:p w:rsidR="00A37229" w:rsidRPr="00A37229" w:rsidRDefault="00A37229" w:rsidP="00A37229">
            <w:pPr>
              <w:spacing w:after="0"/>
              <w:rPr>
                <w:rFonts w:cs="Arial"/>
                <w:sz w:val="16"/>
                <w:szCs w:val="16"/>
              </w:rPr>
            </w:pPr>
            <w:r w:rsidRPr="00A37229">
              <w:rPr>
                <w:rFonts w:cs="Arial"/>
                <w:sz w:val="16"/>
                <w:szCs w:val="16"/>
              </w:rPr>
              <w:t>XIS</w:t>
            </w:r>
          </w:p>
        </w:tc>
        <w:tc>
          <w:tcPr>
            <w:tcW w:w="5232" w:type="dxa"/>
            <w:tcBorders>
              <w:bottom w:val="nil"/>
            </w:tcBorders>
          </w:tcPr>
          <w:p w:rsidR="00A37229" w:rsidRPr="00A37229" w:rsidRDefault="00A37229" w:rsidP="00A37229">
            <w:pPr>
              <w:spacing w:after="0"/>
              <w:rPr>
                <w:rFonts w:cs="Arial"/>
                <w:sz w:val="16"/>
                <w:szCs w:val="16"/>
              </w:rPr>
            </w:pPr>
            <w:r w:rsidRPr="00A37229">
              <w:rPr>
                <w:rFonts w:cs="Arial"/>
                <w:sz w:val="16"/>
                <w:szCs w:val="16"/>
              </w:rPr>
              <w:t>Xchanging Ins-Sure Services</w:t>
            </w:r>
          </w:p>
        </w:tc>
      </w:tr>
      <w:tr w:rsidR="00A37229" w:rsidRPr="00D64309" w:rsidTr="00A37229">
        <w:trPr>
          <w:trHeight w:val="57"/>
        </w:trPr>
        <w:tc>
          <w:tcPr>
            <w:tcW w:w="1618" w:type="dxa"/>
            <w:tcBorders>
              <w:top w:val="nil"/>
              <w:bottom w:val="single" w:sz="6" w:space="0" w:color="auto"/>
            </w:tcBorders>
            <w:shd w:val="clear" w:color="auto" w:fill="C0C0C0"/>
          </w:tcPr>
          <w:p w:rsidR="00A37229" w:rsidRPr="00A37229" w:rsidRDefault="00A37229" w:rsidP="00A37229">
            <w:pPr>
              <w:spacing w:after="0"/>
              <w:rPr>
                <w:rFonts w:cs="Arial"/>
                <w:sz w:val="16"/>
                <w:szCs w:val="16"/>
              </w:rPr>
            </w:pPr>
            <w:r w:rsidRPr="00A37229">
              <w:rPr>
                <w:rFonts w:cs="Arial"/>
                <w:sz w:val="16"/>
                <w:szCs w:val="16"/>
              </w:rPr>
              <w:t>XDH</w:t>
            </w:r>
          </w:p>
        </w:tc>
        <w:tc>
          <w:tcPr>
            <w:tcW w:w="5232" w:type="dxa"/>
            <w:tcBorders>
              <w:top w:val="nil"/>
              <w:bottom w:val="single" w:sz="6" w:space="0" w:color="auto"/>
            </w:tcBorders>
            <w:shd w:val="clear" w:color="auto" w:fill="C0C0C0"/>
          </w:tcPr>
          <w:p w:rsidR="00A37229" w:rsidRPr="00A37229" w:rsidRDefault="00A37229" w:rsidP="00A37229">
            <w:pPr>
              <w:spacing w:after="0"/>
              <w:rPr>
                <w:rFonts w:cs="Arial"/>
                <w:sz w:val="16"/>
                <w:szCs w:val="16"/>
              </w:rPr>
            </w:pPr>
            <w:r w:rsidRPr="00A37229">
              <w:rPr>
                <w:rFonts w:cs="Arial"/>
                <w:sz w:val="16"/>
                <w:szCs w:val="16"/>
              </w:rPr>
              <w:t>Xchanging Distribution Hub</w:t>
            </w:r>
          </w:p>
        </w:tc>
      </w:tr>
    </w:tbl>
    <w:p w:rsidR="00B24D97" w:rsidRPr="00D64309" w:rsidRDefault="00B24D97" w:rsidP="00460FA4">
      <w:pPr>
        <w:rPr>
          <w:rFonts w:cs="Arial"/>
        </w:rPr>
      </w:pPr>
    </w:p>
    <w:p w:rsidR="004C3649" w:rsidRPr="00687624" w:rsidRDefault="004C3649" w:rsidP="00687624">
      <w:pPr>
        <w:rPr>
          <w:highlight w:val="yellow"/>
        </w:rPr>
      </w:pPr>
    </w:p>
    <w:p w:rsidR="00B24D97" w:rsidRPr="00D64309" w:rsidRDefault="00B24D97" w:rsidP="00171B80">
      <w:pPr>
        <w:pStyle w:val="Heading1"/>
        <w:ind w:hanging="1080"/>
      </w:pPr>
      <w:bookmarkStart w:id="503" w:name="_Toc389214928"/>
      <w:bookmarkStart w:id="504" w:name="_Toc396989235"/>
      <w:bookmarkStart w:id="505" w:name="_Toc268445598"/>
      <w:r w:rsidRPr="00D64309">
        <w:rPr>
          <w:lang w:val="en-US"/>
        </w:rPr>
        <w:lastRenderedPageBreak/>
        <w:t xml:space="preserve">APPENDIX F – </w:t>
      </w:r>
      <w:r w:rsidR="00E461D7" w:rsidRPr="00D64309">
        <w:t>MINIMUM REQUIREMENTS FOR XCS BINDER LEGACY CLAIMS</w:t>
      </w:r>
      <w:bookmarkEnd w:id="503"/>
      <w:bookmarkEnd w:id="504"/>
    </w:p>
    <w:p w:rsidR="00B24D97" w:rsidRPr="00D64309" w:rsidRDefault="00B24D97" w:rsidP="000B6008">
      <w:pPr>
        <w:ind w:left="900"/>
        <w:rPr>
          <w:rFonts w:cs="Arial"/>
        </w:rPr>
      </w:pPr>
      <w:r w:rsidRPr="00D64309">
        <w:rPr>
          <w:rFonts w:cs="Arial"/>
        </w:rPr>
        <w:t>Below is the Xchanging list of minimum requirements for handling Binders as ECF Legacy.</w:t>
      </w:r>
    </w:p>
    <w:p w:rsidR="00B24D97" w:rsidRPr="00D64309" w:rsidRDefault="00B24D97" w:rsidP="00C96DFF">
      <w:pPr>
        <w:numPr>
          <w:ilvl w:val="2"/>
          <w:numId w:val="60"/>
        </w:numPr>
        <w:tabs>
          <w:tab w:val="clear" w:pos="2160"/>
          <w:tab w:val="num" w:pos="1800"/>
        </w:tabs>
        <w:spacing w:after="0"/>
        <w:ind w:left="1800"/>
        <w:rPr>
          <w:rFonts w:cs="Arial"/>
          <w:szCs w:val="28"/>
        </w:rPr>
      </w:pPr>
      <w:r w:rsidRPr="00D64309">
        <w:rPr>
          <w:rFonts w:cs="Arial"/>
          <w:szCs w:val="28"/>
        </w:rPr>
        <w:t xml:space="preserve">When converting the Binder, all open individual files to be converted as well (no need for closed). Suggest mid Bordereaux cycle for transition. </w:t>
      </w:r>
    </w:p>
    <w:p w:rsidR="00B24D97" w:rsidRPr="00D64309" w:rsidRDefault="00B24D97" w:rsidP="00C96DFF">
      <w:pPr>
        <w:numPr>
          <w:ilvl w:val="2"/>
          <w:numId w:val="61"/>
        </w:numPr>
        <w:tabs>
          <w:tab w:val="clear" w:pos="2160"/>
          <w:tab w:val="num" w:pos="1800"/>
        </w:tabs>
        <w:spacing w:after="0"/>
        <w:ind w:left="1800"/>
        <w:rPr>
          <w:rFonts w:cs="Arial"/>
          <w:szCs w:val="28"/>
        </w:rPr>
      </w:pPr>
      <w:r w:rsidRPr="00D64309">
        <w:rPr>
          <w:rFonts w:cs="Arial"/>
          <w:szCs w:val="28"/>
        </w:rPr>
        <w:t xml:space="preserve">Only Binders incepting post 01/01/2010, any older and the Binder may be too large and unwieldy to convert. </w:t>
      </w:r>
    </w:p>
    <w:p w:rsidR="00B24D97" w:rsidRPr="00D64309" w:rsidRDefault="00B24D97" w:rsidP="00C96DFF">
      <w:pPr>
        <w:numPr>
          <w:ilvl w:val="2"/>
          <w:numId w:val="62"/>
        </w:numPr>
        <w:tabs>
          <w:tab w:val="clear" w:pos="2160"/>
          <w:tab w:val="num" w:pos="1800"/>
        </w:tabs>
        <w:spacing w:after="0"/>
        <w:ind w:left="1800"/>
        <w:rPr>
          <w:rFonts w:cs="Arial"/>
          <w:szCs w:val="28"/>
        </w:rPr>
      </w:pPr>
      <w:r w:rsidRPr="00D64309">
        <w:rPr>
          <w:rFonts w:cs="Arial"/>
          <w:szCs w:val="28"/>
        </w:rPr>
        <w:t xml:space="preserve">If XCS have used Bulks on the Binder to group payments on paper claims are excluded. </w:t>
      </w:r>
    </w:p>
    <w:p w:rsidR="00E2587F" w:rsidRDefault="00B24D97" w:rsidP="00E2587F">
      <w:pPr>
        <w:numPr>
          <w:ilvl w:val="2"/>
          <w:numId w:val="63"/>
        </w:numPr>
        <w:tabs>
          <w:tab w:val="clear" w:pos="2160"/>
          <w:tab w:val="num" w:pos="1800"/>
        </w:tabs>
        <w:spacing w:after="0"/>
        <w:ind w:left="1800"/>
        <w:rPr>
          <w:rFonts w:cs="Arial"/>
          <w:szCs w:val="28"/>
        </w:rPr>
      </w:pPr>
      <w:r w:rsidRPr="00D64309">
        <w:rPr>
          <w:rFonts w:cs="Arial"/>
          <w:szCs w:val="28"/>
        </w:rPr>
        <w:t xml:space="preserve">XCS will capture the information regarding the individual entries on XCS CLASS for the Broker to load UCR's for those also.  If a CAF binder, if the broker has not loaded all the UCR’s required (above threshold / below block limit) XCS will reject. </w:t>
      </w:r>
      <w:bookmarkStart w:id="506" w:name="_Toc389214929"/>
      <w:bookmarkEnd w:id="505"/>
    </w:p>
    <w:p w:rsidR="00B24D97" w:rsidRPr="00E2587F" w:rsidRDefault="00B24D97" w:rsidP="00E2587F">
      <w:pPr>
        <w:pStyle w:val="Heading1"/>
        <w:ind w:hanging="1080"/>
        <w:rPr>
          <w:lang w:val="en-US"/>
        </w:rPr>
      </w:pPr>
      <w:bookmarkStart w:id="507" w:name="_Toc396989236"/>
      <w:r w:rsidRPr="00E2587F">
        <w:rPr>
          <w:lang w:val="en-US"/>
        </w:rPr>
        <w:t xml:space="preserve">APPENDIX </w:t>
      </w:r>
      <w:r w:rsidR="00106604" w:rsidRPr="00E2587F">
        <w:rPr>
          <w:lang w:val="en-US"/>
        </w:rPr>
        <w:t>G</w:t>
      </w:r>
      <w:r w:rsidRPr="00E2587F">
        <w:rPr>
          <w:lang w:val="en-US"/>
        </w:rPr>
        <w:t xml:space="preserve"> – </w:t>
      </w:r>
      <w:r w:rsidR="00106604" w:rsidRPr="00E2587F">
        <w:rPr>
          <w:lang w:val="en-US"/>
        </w:rPr>
        <w:t>XCS LEGACY CO-ORDINATORS</w:t>
      </w:r>
      <w:bookmarkEnd w:id="506"/>
      <w:bookmarkEnd w:id="507"/>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5155"/>
      </w:tblGrid>
      <w:tr w:rsidR="00B24D97" w:rsidRPr="00D64309" w:rsidTr="007B1B16">
        <w:tc>
          <w:tcPr>
            <w:tcW w:w="3082" w:type="dxa"/>
          </w:tcPr>
          <w:p w:rsidR="00B24D97" w:rsidRPr="00D64309" w:rsidRDefault="00B24D97" w:rsidP="006C08F3">
            <w:pPr>
              <w:rPr>
                <w:rFonts w:cs="Arial"/>
                <w:b/>
              </w:rPr>
            </w:pPr>
            <w:r w:rsidRPr="00D64309">
              <w:rPr>
                <w:rFonts w:cs="Arial"/>
                <w:b/>
              </w:rPr>
              <w:t>TEAM</w:t>
            </w:r>
          </w:p>
        </w:tc>
        <w:tc>
          <w:tcPr>
            <w:tcW w:w="5155" w:type="dxa"/>
          </w:tcPr>
          <w:p w:rsidR="00B24D97" w:rsidRPr="00D64309" w:rsidRDefault="00B24D97" w:rsidP="006C08F3">
            <w:pPr>
              <w:rPr>
                <w:rFonts w:cs="Arial"/>
                <w:b/>
              </w:rPr>
            </w:pPr>
            <w:r w:rsidRPr="00D64309">
              <w:rPr>
                <w:rFonts w:cs="Arial"/>
                <w:b/>
              </w:rPr>
              <w:t>CONTACT</w:t>
            </w:r>
          </w:p>
        </w:tc>
      </w:tr>
      <w:tr w:rsidR="00642DFA" w:rsidRPr="00D64309" w:rsidTr="007B1B16">
        <w:tc>
          <w:tcPr>
            <w:tcW w:w="3082" w:type="dxa"/>
          </w:tcPr>
          <w:p w:rsidR="00642DFA" w:rsidRPr="00D64309" w:rsidDel="00642DFA" w:rsidRDefault="00642DFA" w:rsidP="006C08F3">
            <w:pPr>
              <w:rPr>
                <w:rFonts w:cs="Arial"/>
              </w:rPr>
            </w:pPr>
            <w:r>
              <w:t>TP &amp; TA ECF (Binders only)</w:t>
            </w:r>
          </w:p>
        </w:tc>
        <w:tc>
          <w:tcPr>
            <w:tcW w:w="5155" w:type="dxa"/>
          </w:tcPr>
          <w:p w:rsidR="00642DFA" w:rsidRPr="00D64309" w:rsidDel="00642DFA" w:rsidRDefault="00155CEC" w:rsidP="007B1B16">
            <w:pPr>
              <w:rPr>
                <w:rFonts w:cs="Arial"/>
                <w:lang w:val="en-US"/>
              </w:rPr>
            </w:pPr>
            <w:r>
              <w:rPr>
                <w:rFonts w:cs="Arial"/>
                <w:lang w:val="en-US"/>
              </w:rPr>
              <w:t>Paula Storey &amp; Claire Musson</w:t>
            </w:r>
          </w:p>
        </w:tc>
      </w:tr>
      <w:tr w:rsidR="00642DFA" w:rsidRPr="00D64309" w:rsidTr="007B1B16">
        <w:tc>
          <w:tcPr>
            <w:tcW w:w="3082" w:type="dxa"/>
          </w:tcPr>
          <w:p w:rsidR="00642DFA" w:rsidRPr="007337F9" w:rsidRDefault="00642DFA" w:rsidP="006C08F3">
            <w:pPr>
              <w:rPr>
                <w:lang w:val="sv-SE"/>
              </w:rPr>
            </w:pPr>
            <w:r w:rsidRPr="007337F9">
              <w:rPr>
                <w:lang w:val="sv-SE"/>
              </w:rPr>
              <w:t>TP &amp; TA Paper (Binders only)</w:t>
            </w:r>
          </w:p>
        </w:tc>
        <w:tc>
          <w:tcPr>
            <w:tcW w:w="5155" w:type="dxa"/>
          </w:tcPr>
          <w:p w:rsidR="00642DFA" w:rsidRDefault="00155CEC" w:rsidP="007B1B16">
            <w:r>
              <w:t>Daniel Timms</w:t>
            </w:r>
          </w:p>
        </w:tc>
      </w:tr>
      <w:tr w:rsidR="00642DFA" w:rsidRPr="00D64309" w:rsidTr="007B1B16">
        <w:tc>
          <w:tcPr>
            <w:tcW w:w="3082" w:type="dxa"/>
          </w:tcPr>
          <w:p w:rsidR="00642DFA" w:rsidRDefault="00642DFA" w:rsidP="006C08F3">
            <w:r>
              <w:t>TP Paper (Non- Binder)</w:t>
            </w:r>
          </w:p>
        </w:tc>
        <w:tc>
          <w:tcPr>
            <w:tcW w:w="5155" w:type="dxa"/>
          </w:tcPr>
          <w:p w:rsidR="00642DFA" w:rsidRDefault="00642DFA" w:rsidP="007B1B16">
            <w:r>
              <w:t>Luke Tomkins</w:t>
            </w:r>
          </w:p>
        </w:tc>
      </w:tr>
      <w:tr w:rsidR="00642DFA" w:rsidRPr="00D64309" w:rsidTr="007B1B16">
        <w:tc>
          <w:tcPr>
            <w:tcW w:w="3082" w:type="dxa"/>
          </w:tcPr>
          <w:p w:rsidR="00642DFA" w:rsidRDefault="00642DFA" w:rsidP="006C08F3">
            <w:r>
              <w:t>TP ECF (Non-Binders)</w:t>
            </w:r>
          </w:p>
        </w:tc>
        <w:tc>
          <w:tcPr>
            <w:tcW w:w="5155" w:type="dxa"/>
          </w:tcPr>
          <w:p w:rsidR="00642DFA" w:rsidRDefault="00642DFA" w:rsidP="007B1B16">
            <w:r>
              <w:t>Matthew Routledge</w:t>
            </w:r>
          </w:p>
        </w:tc>
      </w:tr>
    </w:tbl>
    <w:p w:rsidR="00CB72D8" w:rsidRDefault="00CB72D8" w:rsidP="00CB66F9">
      <w:pPr>
        <w:rPr>
          <w:rFonts w:cs="Arial"/>
          <w:lang w:val="en-US"/>
        </w:rPr>
        <w:sectPr w:rsidR="00CB72D8" w:rsidSect="0038284D">
          <w:pgSz w:w="11909" w:h="16834" w:code="9"/>
          <w:pgMar w:top="1440" w:right="1440" w:bottom="1440" w:left="1440" w:header="578" w:footer="493" w:gutter="0"/>
          <w:cols w:space="720"/>
        </w:sectPr>
      </w:pPr>
    </w:p>
    <w:p w:rsidR="00B24D97" w:rsidRDefault="00CB72D8" w:rsidP="00E2587F">
      <w:pPr>
        <w:pStyle w:val="Heading1"/>
        <w:ind w:hanging="1080"/>
        <w:rPr>
          <w:lang w:val="en-US"/>
        </w:rPr>
      </w:pPr>
      <w:bookmarkStart w:id="508" w:name="_Toc389214930"/>
      <w:bookmarkStart w:id="509" w:name="_Toc396989237"/>
      <w:r w:rsidRPr="00D64309">
        <w:rPr>
          <w:lang w:val="en-US"/>
        </w:rPr>
        <w:lastRenderedPageBreak/>
        <w:t xml:space="preserve">APPENDIX </w:t>
      </w:r>
      <w:r>
        <w:rPr>
          <w:lang w:val="en-US"/>
        </w:rPr>
        <w:t>H</w:t>
      </w:r>
      <w:r w:rsidRPr="00D64309">
        <w:rPr>
          <w:lang w:val="en-US"/>
        </w:rPr>
        <w:t xml:space="preserve"> – </w:t>
      </w:r>
      <w:r>
        <w:rPr>
          <w:lang w:val="en-US"/>
        </w:rPr>
        <w:t>Full list of supported file types (imr &amp; DFV)</w:t>
      </w:r>
      <w:bookmarkEnd w:id="508"/>
      <w:bookmarkEnd w:id="5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2976"/>
        <w:gridCol w:w="3467"/>
      </w:tblGrid>
      <w:tr w:rsidR="005A5246" w:rsidRPr="00F70194" w:rsidTr="00F70194">
        <w:tc>
          <w:tcPr>
            <w:tcW w:w="1384" w:type="dxa"/>
            <w:vAlign w:val="bottom"/>
          </w:tcPr>
          <w:p w:rsidR="005A5246" w:rsidRPr="00F70194" w:rsidRDefault="005A5246" w:rsidP="00F70194">
            <w:pPr>
              <w:jc w:val="center"/>
              <w:rPr>
                <w:rFonts w:cs="Arial"/>
                <w:b/>
                <w:bCs/>
              </w:rPr>
            </w:pPr>
            <w:r w:rsidRPr="00F70194">
              <w:rPr>
                <w:rFonts w:cs="Arial"/>
                <w:b/>
                <w:bCs/>
              </w:rPr>
              <w:t>EXTENSION</w:t>
            </w:r>
          </w:p>
        </w:tc>
        <w:tc>
          <w:tcPr>
            <w:tcW w:w="1418" w:type="dxa"/>
            <w:vAlign w:val="bottom"/>
          </w:tcPr>
          <w:p w:rsidR="005A5246" w:rsidRPr="00F70194" w:rsidRDefault="005A5246" w:rsidP="00F70194">
            <w:pPr>
              <w:jc w:val="center"/>
              <w:rPr>
                <w:rFonts w:cs="Arial"/>
                <w:b/>
                <w:bCs/>
              </w:rPr>
            </w:pPr>
            <w:r w:rsidRPr="00F70194">
              <w:rPr>
                <w:rFonts w:cs="Arial"/>
                <w:b/>
                <w:bCs/>
              </w:rPr>
              <w:t>DFV Compatible</w:t>
            </w:r>
          </w:p>
        </w:tc>
        <w:tc>
          <w:tcPr>
            <w:tcW w:w="2976" w:type="dxa"/>
            <w:vAlign w:val="bottom"/>
          </w:tcPr>
          <w:p w:rsidR="005A5246" w:rsidRPr="00F70194" w:rsidRDefault="005A5246" w:rsidP="00F70194">
            <w:pPr>
              <w:jc w:val="center"/>
              <w:rPr>
                <w:rFonts w:cs="Arial"/>
                <w:b/>
                <w:bCs/>
              </w:rPr>
            </w:pPr>
            <w:r w:rsidRPr="00F70194">
              <w:rPr>
                <w:rFonts w:cs="Arial"/>
                <w:b/>
                <w:bCs/>
              </w:rPr>
              <w:t>DRI Acord Code</w:t>
            </w:r>
          </w:p>
        </w:tc>
        <w:tc>
          <w:tcPr>
            <w:tcW w:w="3467" w:type="dxa"/>
            <w:vAlign w:val="bottom"/>
          </w:tcPr>
          <w:p w:rsidR="005A5246" w:rsidRPr="00F70194" w:rsidRDefault="005A5246" w:rsidP="00F70194">
            <w:pPr>
              <w:jc w:val="center"/>
              <w:rPr>
                <w:rFonts w:cs="Arial"/>
                <w:b/>
                <w:bCs/>
              </w:rPr>
            </w:pPr>
            <w:r w:rsidRPr="00F70194">
              <w:rPr>
                <w:rFonts w:cs="Arial"/>
                <w:b/>
                <w:bCs/>
              </w:rPr>
              <w:t>DESCRIPTION</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afm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Adobe Font Metrics</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ai</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Adobe Illustrator Document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aifc</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AIFC Audio</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ans</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Text with Layout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au</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AU Audio</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avi</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video/avi</w:t>
            </w:r>
          </w:p>
        </w:tc>
        <w:tc>
          <w:tcPr>
            <w:tcW w:w="3467" w:type="dxa"/>
            <w:vAlign w:val="bottom"/>
          </w:tcPr>
          <w:p w:rsidR="005A5246" w:rsidRPr="00F70194" w:rsidRDefault="005A5246">
            <w:pPr>
              <w:rPr>
                <w:rFonts w:cs="Arial"/>
              </w:rPr>
            </w:pPr>
            <w:r w:rsidRPr="00F70194">
              <w:rPr>
                <w:rFonts w:cs="Arial"/>
              </w:rPr>
              <w:t>AVI movie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bmp</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image/x-ms-bmp</w:t>
            </w:r>
          </w:p>
        </w:tc>
        <w:tc>
          <w:tcPr>
            <w:tcW w:w="3467" w:type="dxa"/>
            <w:vAlign w:val="bottom"/>
          </w:tcPr>
          <w:p w:rsidR="005A5246" w:rsidRPr="00F70194" w:rsidRDefault="005A5246">
            <w:pPr>
              <w:rPr>
                <w:rFonts w:cs="Arial"/>
              </w:rPr>
            </w:pPr>
            <w:r w:rsidRPr="00F70194">
              <w:rPr>
                <w:rFonts w:cs="Arial"/>
              </w:rPr>
              <w:t>Windows Bitmap</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bmp</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image/x-ms-bmp</w:t>
            </w:r>
          </w:p>
        </w:tc>
        <w:tc>
          <w:tcPr>
            <w:tcW w:w="3467" w:type="dxa"/>
            <w:vAlign w:val="bottom"/>
          </w:tcPr>
          <w:p w:rsidR="005A5246" w:rsidRPr="00F70194" w:rsidRDefault="005A5246">
            <w:pPr>
              <w:rPr>
                <w:rFonts w:cs="Arial"/>
              </w:rPr>
            </w:pPr>
            <w:r w:rsidRPr="00F70194">
              <w:rPr>
                <w:rFonts w:cs="Arial"/>
              </w:rPr>
              <w:t>Bitmap image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book</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Adobe FrameMaker Book</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c</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C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cdr</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Corel Draw Image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cdt</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COREL Draw (.cdt)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cgm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Computer Graphics Metafile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clk</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COREL Animation</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cpp</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CPP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crw</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CANON Raw</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csv</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text/csv</w:t>
            </w:r>
          </w:p>
        </w:tc>
        <w:tc>
          <w:tcPr>
            <w:tcW w:w="3467" w:type="dxa"/>
            <w:vAlign w:val="bottom"/>
          </w:tcPr>
          <w:p w:rsidR="005A5246" w:rsidRPr="00F70194" w:rsidRDefault="005A5246">
            <w:pPr>
              <w:rPr>
                <w:rFonts w:cs="Arial"/>
              </w:rPr>
            </w:pPr>
            <w:r w:rsidRPr="00F70194">
              <w:rPr>
                <w:rFonts w:cs="Arial"/>
              </w:rPr>
              <w:t>CSV (.csv)</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dbf</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DBF 4(dBASEIV)</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dgn</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MicroStation Drawing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dng</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Adobe DNG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doc</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application/msword</w:t>
            </w:r>
          </w:p>
        </w:tc>
        <w:tc>
          <w:tcPr>
            <w:tcW w:w="3467" w:type="dxa"/>
            <w:vAlign w:val="bottom"/>
          </w:tcPr>
          <w:p w:rsidR="005A5246" w:rsidRPr="00F70194" w:rsidRDefault="005A5246">
            <w:pPr>
              <w:rPr>
                <w:rFonts w:cs="Arial"/>
              </w:rPr>
            </w:pPr>
            <w:r w:rsidRPr="00F70194">
              <w:rPr>
                <w:rFonts w:cs="Arial"/>
              </w:rPr>
              <w:t>MS Word</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docm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application/vnd.ms-word.document.macroEnabled.12</w:t>
            </w:r>
          </w:p>
        </w:tc>
        <w:tc>
          <w:tcPr>
            <w:tcW w:w="3467" w:type="dxa"/>
            <w:vAlign w:val="bottom"/>
          </w:tcPr>
          <w:p w:rsidR="005A5246" w:rsidRPr="00F70194" w:rsidRDefault="005A5246">
            <w:pPr>
              <w:rPr>
                <w:rFonts w:cs="Arial"/>
              </w:rPr>
            </w:pPr>
            <w:r w:rsidRPr="00F70194">
              <w:rPr>
                <w:rFonts w:cs="Arial"/>
              </w:rPr>
              <w:t>Word 2007 Macro-Enabled Document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docx</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application/vnd.openxmlformats-officedocument.wordprocessingml.document</w:t>
            </w:r>
          </w:p>
        </w:tc>
        <w:tc>
          <w:tcPr>
            <w:tcW w:w="3467" w:type="dxa"/>
            <w:vAlign w:val="bottom"/>
          </w:tcPr>
          <w:p w:rsidR="005A5246" w:rsidRPr="00F70194" w:rsidRDefault="005A5246">
            <w:pPr>
              <w:rPr>
                <w:rFonts w:cs="Arial"/>
              </w:rPr>
            </w:pPr>
            <w:r w:rsidRPr="00F70194">
              <w:rPr>
                <w:rFonts w:cs="Arial"/>
              </w:rPr>
              <w:t>Word 2007 Document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lastRenderedPageBreak/>
              <w:t>dot</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Document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dotm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application/vnd.ms-word.template.macroEnabled.12</w:t>
            </w:r>
          </w:p>
        </w:tc>
        <w:tc>
          <w:tcPr>
            <w:tcW w:w="3467" w:type="dxa"/>
            <w:vAlign w:val="bottom"/>
          </w:tcPr>
          <w:p w:rsidR="005A5246" w:rsidRPr="00F70194" w:rsidRDefault="005A5246">
            <w:pPr>
              <w:rPr>
                <w:rFonts w:cs="Arial"/>
              </w:rPr>
            </w:pPr>
            <w:r w:rsidRPr="00F70194">
              <w:rPr>
                <w:rFonts w:cs="Arial"/>
              </w:rPr>
              <w:t>Word 2007 Macro-Enabled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dotx</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application/vnd.openxmlformats-officedocument.wordprocessingml.template</w:t>
            </w:r>
          </w:p>
        </w:tc>
        <w:tc>
          <w:tcPr>
            <w:tcW w:w="3467" w:type="dxa"/>
            <w:vAlign w:val="bottom"/>
          </w:tcPr>
          <w:p w:rsidR="005A5246" w:rsidRPr="00F70194" w:rsidRDefault="005A5246">
            <w:pPr>
              <w:rPr>
                <w:rFonts w:cs="Arial"/>
              </w:rPr>
            </w:pPr>
            <w:r w:rsidRPr="00F70194">
              <w:rPr>
                <w:rFonts w:cs="Arial"/>
              </w:rPr>
              <w:t>Word 2007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dwf</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model/vnd.dwf</w:t>
            </w:r>
          </w:p>
        </w:tc>
        <w:tc>
          <w:tcPr>
            <w:tcW w:w="3467" w:type="dxa"/>
            <w:vAlign w:val="bottom"/>
          </w:tcPr>
          <w:p w:rsidR="005A5246" w:rsidRPr="00F70194" w:rsidRDefault="005A5246">
            <w:pPr>
              <w:rPr>
                <w:rFonts w:cs="Arial"/>
              </w:rPr>
            </w:pPr>
            <w:r w:rsidRPr="00F70194">
              <w:rPr>
                <w:rFonts w:cs="Arial"/>
              </w:rPr>
              <w:t>Design Web Format (.dwf)</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dwg</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AutoCAD Drawing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dxf</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AutoCAD Interchange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dxl</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Domino Extensible Language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emf</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Enhanced Metafile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eml</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Mail (.eml)</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emz</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Compressed Enhanced Metafile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eps</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Encapsulated PostScript Document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exe</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Executable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fh10</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Macromedia Freehand</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fm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Adobe FrameMaker Document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gif</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image/gif</w:t>
            </w:r>
          </w:p>
        </w:tc>
        <w:tc>
          <w:tcPr>
            <w:tcW w:w="3467" w:type="dxa"/>
            <w:vAlign w:val="bottom"/>
          </w:tcPr>
          <w:p w:rsidR="005A5246" w:rsidRPr="00F70194" w:rsidRDefault="005A5246">
            <w:pPr>
              <w:rPr>
                <w:rFonts w:cs="Arial"/>
              </w:rPr>
            </w:pPr>
            <w:r w:rsidRPr="00F70194">
              <w:rPr>
                <w:rFonts w:cs="Arial"/>
              </w:rPr>
              <w:t>GIF image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htm</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HTML (.htm)</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html</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text/html</w:t>
            </w:r>
          </w:p>
        </w:tc>
        <w:tc>
          <w:tcPr>
            <w:tcW w:w="3467" w:type="dxa"/>
            <w:vAlign w:val="bottom"/>
          </w:tcPr>
          <w:p w:rsidR="005A5246" w:rsidRPr="00F70194" w:rsidRDefault="005A5246">
            <w:pPr>
              <w:rPr>
                <w:rFonts w:cs="Arial"/>
              </w:rPr>
            </w:pPr>
            <w:r w:rsidRPr="00F70194">
              <w:rPr>
                <w:rFonts w:cs="Arial"/>
              </w:rPr>
              <w:t>HTML (.html)</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icc</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ICC Profile (.icc)</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icm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ICC Profile (.icm)</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igs</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IGES Drawing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java</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Java source files</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jp2</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JPEG 2000 Image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jpeg</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image/jpeg or image/pjpeg</w:t>
            </w:r>
          </w:p>
        </w:tc>
        <w:tc>
          <w:tcPr>
            <w:tcW w:w="3467" w:type="dxa"/>
            <w:vAlign w:val="bottom"/>
          </w:tcPr>
          <w:p w:rsidR="005A5246" w:rsidRPr="00F70194" w:rsidRDefault="005A5246">
            <w:pPr>
              <w:rPr>
                <w:rFonts w:cs="Arial"/>
              </w:rPr>
            </w:pPr>
            <w:r w:rsidRPr="00F70194">
              <w:rPr>
                <w:rFonts w:cs="Arial"/>
              </w:rPr>
              <w:t>JPEG image (.jpeg)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jpg</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JPEG image (.jpg)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mcw</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Word for Macintosh</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mdb</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Microsoft Access Database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lastRenderedPageBreak/>
              <w:t>mdi</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image/vnd.ms-modi</w:t>
            </w:r>
          </w:p>
        </w:tc>
        <w:tc>
          <w:tcPr>
            <w:tcW w:w="3467" w:type="dxa"/>
            <w:vAlign w:val="bottom"/>
          </w:tcPr>
          <w:p w:rsidR="005A5246" w:rsidRPr="00F70194" w:rsidRDefault="005A5246">
            <w:pPr>
              <w:rPr>
                <w:rFonts w:cs="Arial"/>
              </w:rPr>
            </w:pPr>
            <w:r w:rsidRPr="00F70194">
              <w:rPr>
                <w:rFonts w:cs="Arial"/>
              </w:rPr>
              <w:t>Microsoft Document Imaging File (.mdi)</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mht</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Web Archive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mhtml</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Web Archive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mid</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MIDI Audio (.mid)</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midi</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MIDI Audio</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mmap</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MindJet MindManager</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mov</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Quicktime Video</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mp3</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MP3 audio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mpd</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Project Database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mpe</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MPEG Video (.mpe)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mpeg</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video/mpeg</w:t>
            </w:r>
          </w:p>
        </w:tc>
        <w:tc>
          <w:tcPr>
            <w:tcW w:w="3467" w:type="dxa"/>
            <w:vAlign w:val="bottom"/>
          </w:tcPr>
          <w:p w:rsidR="005A5246" w:rsidRPr="00F70194" w:rsidRDefault="005A5246">
            <w:pPr>
              <w:rPr>
                <w:rFonts w:cs="Arial"/>
              </w:rPr>
            </w:pPr>
            <w:r w:rsidRPr="00F70194">
              <w:rPr>
                <w:rFonts w:cs="Arial"/>
              </w:rPr>
              <w:t>MPEG video file (.mpeg)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mpg</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MPEG video file (.mpg)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mpp</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application/vnd.ms-project</w:t>
            </w:r>
          </w:p>
        </w:tc>
        <w:tc>
          <w:tcPr>
            <w:tcW w:w="3467" w:type="dxa"/>
            <w:vAlign w:val="bottom"/>
          </w:tcPr>
          <w:p w:rsidR="005A5246" w:rsidRPr="00F70194" w:rsidRDefault="005A5246">
            <w:pPr>
              <w:rPr>
                <w:rFonts w:cs="Arial"/>
              </w:rPr>
            </w:pPr>
            <w:r w:rsidRPr="00F70194">
              <w:rPr>
                <w:rFonts w:cs="Arial"/>
              </w:rPr>
              <w:t>MS Project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mpt</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Project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msg</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application/x-outlook-msg or message/outlook or application/msg</w:t>
            </w:r>
          </w:p>
        </w:tc>
        <w:tc>
          <w:tcPr>
            <w:tcW w:w="3467" w:type="dxa"/>
            <w:vAlign w:val="bottom"/>
          </w:tcPr>
          <w:p w:rsidR="005A5246" w:rsidRPr="00F70194" w:rsidRDefault="005A5246">
            <w:pPr>
              <w:rPr>
                <w:rFonts w:cs="Arial"/>
              </w:rPr>
            </w:pPr>
            <w:r w:rsidRPr="00F70194">
              <w:rPr>
                <w:rFonts w:cs="Arial"/>
              </w:rPr>
              <w:t>Mail (.msg)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pcd</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PhotoCD Image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pct</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Macintosh PICT Format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pcx</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Paint Brush</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pdf</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application/pdf</w:t>
            </w:r>
          </w:p>
        </w:tc>
        <w:tc>
          <w:tcPr>
            <w:tcW w:w="3467" w:type="dxa"/>
            <w:vAlign w:val="bottom"/>
          </w:tcPr>
          <w:p w:rsidR="005A5246" w:rsidRPr="00F70194" w:rsidRDefault="005A5246">
            <w:pPr>
              <w:rPr>
                <w:rFonts w:cs="Arial"/>
              </w:rPr>
            </w:pPr>
            <w:r w:rsidRPr="00F70194">
              <w:rPr>
                <w:rFonts w:cs="Arial"/>
              </w:rPr>
              <w:t>Acrobat Reader</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png</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image/png</w:t>
            </w:r>
          </w:p>
        </w:tc>
        <w:tc>
          <w:tcPr>
            <w:tcW w:w="3467" w:type="dxa"/>
            <w:vAlign w:val="bottom"/>
          </w:tcPr>
          <w:p w:rsidR="005A5246" w:rsidRPr="00F70194" w:rsidRDefault="005A5246">
            <w:pPr>
              <w:rPr>
                <w:rFonts w:cs="Arial"/>
              </w:rPr>
            </w:pPr>
            <w:r w:rsidRPr="00F70194">
              <w:rPr>
                <w:rFonts w:cs="Arial"/>
              </w:rPr>
              <w:t>Portable Network Graphics (.png)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pot</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Design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potm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PowerPoint 2007 Macro-Enabled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potx</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application/vnd.openxmlformats-officedocument.presentationml.template</w:t>
            </w:r>
          </w:p>
        </w:tc>
        <w:tc>
          <w:tcPr>
            <w:tcW w:w="3467" w:type="dxa"/>
            <w:vAlign w:val="bottom"/>
          </w:tcPr>
          <w:p w:rsidR="005A5246" w:rsidRPr="00F70194" w:rsidRDefault="005A5246">
            <w:pPr>
              <w:rPr>
                <w:rFonts w:cs="Arial"/>
              </w:rPr>
            </w:pPr>
            <w:r w:rsidRPr="00F70194">
              <w:rPr>
                <w:rFonts w:cs="Arial"/>
              </w:rPr>
              <w:t>PowerPoint 2007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ppam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application/vnd.ms-powerpoint.addin.macroEnabled.12</w:t>
            </w:r>
          </w:p>
        </w:tc>
        <w:tc>
          <w:tcPr>
            <w:tcW w:w="3467" w:type="dxa"/>
            <w:vAlign w:val="bottom"/>
          </w:tcPr>
          <w:p w:rsidR="005A5246" w:rsidRPr="00F70194" w:rsidRDefault="005A5246">
            <w:pPr>
              <w:rPr>
                <w:rFonts w:cs="Arial"/>
              </w:rPr>
            </w:pPr>
            <w:r w:rsidRPr="00F70194">
              <w:rPr>
                <w:rFonts w:cs="Arial"/>
              </w:rPr>
              <w:t>PowerPoint 2007 Macro-Enabled Add-In</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lastRenderedPageBreak/>
              <w:t>pps</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PowerPoint Show</w:t>
            </w:r>
          </w:p>
        </w:tc>
      </w:tr>
      <w:tr w:rsidR="005A5246" w:rsidRPr="00F70194" w:rsidTr="00F70194">
        <w:tc>
          <w:tcPr>
            <w:tcW w:w="1384" w:type="dxa"/>
            <w:vAlign w:val="bottom"/>
          </w:tcPr>
          <w:p w:rsidR="005A5246" w:rsidRPr="00F70194" w:rsidRDefault="005A5246" w:rsidP="00F70194">
            <w:pPr>
              <w:jc w:val="center"/>
              <w:rPr>
                <w:rFonts w:cs="Arial"/>
              </w:rPr>
            </w:pPr>
          </w:p>
          <w:p w:rsidR="005A5246" w:rsidRPr="00F70194" w:rsidRDefault="005A5246" w:rsidP="00F70194">
            <w:pPr>
              <w:jc w:val="center"/>
              <w:rPr>
                <w:rFonts w:cs="Arial"/>
              </w:rPr>
            </w:pPr>
            <w:r w:rsidRPr="00F70194">
              <w:rPr>
                <w:rFonts w:cs="Arial"/>
              </w:rPr>
              <w:t>ppsx</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p>
          <w:p w:rsidR="005A5246" w:rsidRPr="00F70194" w:rsidRDefault="005A5246">
            <w:pPr>
              <w:rPr>
                <w:rFonts w:cs="Arial"/>
              </w:rPr>
            </w:pPr>
            <w:r w:rsidRPr="00F70194">
              <w:rPr>
                <w:rFonts w:cs="Arial"/>
              </w:rPr>
              <w:t>application/vnd.openxmlformats-officedocument.presentationml.slideshow</w:t>
            </w:r>
          </w:p>
        </w:tc>
        <w:tc>
          <w:tcPr>
            <w:tcW w:w="3467" w:type="dxa"/>
            <w:vAlign w:val="bottom"/>
          </w:tcPr>
          <w:p w:rsidR="005A5246" w:rsidRPr="00F70194" w:rsidRDefault="005A5246">
            <w:pPr>
              <w:rPr>
                <w:rFonts w:cs="Arial"/>
              </w:rPr>
            </w:pPr>
          </w:p>
          <w:p w:rsidR="005A5246" w:rsidRPr="00F70194" w:rsidRDefault="005A5246">
            <w:pPr>
              <w:rPr>
                <w:rFonts w:cs="Arial"/>
              </w:rPr>
            </w:pPr>
            <w:r w:rsidRPr="00F70194">
              <w:rPr>
                <w:rFonts w:cs="Arial"/>
              </w:rPr>
              <w:t>PowerPoint 2007 Show</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ppt</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application/vnd.ms-powerpoint</w:t>
            </w:r>
          </w:p>
        </w:tc>
        <w:tc>
          <w:tcPr>
            <w:tcW w:w="3467" w:type="dxa"/>
            <w:vAlign w:val="bottom"/>
          </w:tcPr>
          <w:p w:rsidR="005A5246" w:rsidRPr="00F70194" w:rsidRDefault="005A5246">
            <w:pPr>
              <w:rPr>
                <w:rFonts w:cs="Arial"/>
              </w:rPr>
            </w:pPr>
            <w:r w:rsidRPr="00F70194">
              <w:rPr>
                <w:rFonts w:cs="Arial"/>
              </w:rPr>
              <w:t>Power Point 97</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pptm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application/vnd.ms-powerpoint.presentation.macroEnabled.12</w:t>
            </w:r>
          </w:p>
        </w:tc>
        <w:tc>
          <w:tcPr>
            <w:tcW w:w="3467" w:type="dxa"/>
            <w:vAlign w:val="bottom"/>
          </w:tcPr>
          <w:p w:rsidR="005A5246" w:rsidRPr="00F70194" w:rsidRDefault="005A5246">
            <w:pPr>
              <w:rPr>
                <w:rFonts w:cs="Arial"/>
              </w:rPr>
            </w:pPr>
            <w:r w:rsidRPr="00F70194">
              <w:rPr>
                <w:rFonts w:cs="Arial"/>
              </w:rPr>
              <w:t>PowerPoint 2007 Macro-Enabled Presentation</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pptx</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application/vnd.openxmlformats-officedocument.presentationml.presentation</w:t>
            </w:r>
          </w:p>
        </w:tc>
        <w:tc>
          <w:tcPr>
            <w:tcW w:w="3467" w:type="dxa"/>
            <w:vAlign w:val="bottom"/>
          </w:tcPr>
          <w:p w:rsidR="005A5246" w:rsidRPr="00F70194" w:rsidRDefault="005A5246">
            <w:pPr>
              <w:rPr>
                <w:rFonts w:cs="Arial"/>
              </w:rPr>
            </w:pPr>
            <w:r w:rsidRPr="00F70194">
              <w:rPr>
                <w:rFonts w:cs="Arial"/>
              </w:rPr>
              <w:t>PowerPoint 2007 Presentation</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ppxm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PowerPoint 2007 Macro-Enabled Show</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prn</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Formatted Text (Space delimited)</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ps</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Postscript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psd</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Adobe Photoshop Document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qpw</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Quatro Pro 6/7/8</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qxd</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Quark XPress Document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rtf</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text/rtf or text/richtext</w:t>
            </w:r>
          </w:p>
        </w:tc>
        <w:tc>
          <w:tcPr>
            <w:tcW w:w="3467" w:type="dxa"/>
            <w:vAlign w:val="bottom"/>
          </w:tcPr>
          <w:p w:rsidR="005A5246" w:rsidRPr="00F70194" w:rsidRDefault="005A5246">
            <w:pPr>
              <w:rPr>
                <w:rFonts w:cs="Arial"/>
              </w:rPr>
            </w:pPr>
            <w:r w:rsidRPr="00F70194">
              <w:rPr>
                <w:rFonts w:cs="Arial"/>
              </w:rPr>
              <w:t>Rich Text format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sda</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Drawing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sdb</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Database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sdc</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SpreadSheet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sdd</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Presentation</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sdp</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Presentation (.sdp)</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sds</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Chart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sdw</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Text (.sdw)</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sgl</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Master Document (.sgl)</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shw</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Presentations</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slk</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SYLK (Symbolic Link)</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smd</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Mail</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lastRenderedPageBreak/>
              <w:t>smf</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Formula</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stn</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STiNG Image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swf</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Flash Document</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sxg</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Master Document (.sxg)</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sxw</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Text (.sxw)</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tga</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Targa Image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tif</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TIFF (.tif)</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tiff</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image/tiff</w:t>
            </w:r>
          </w:p>
        </w:tc>
        <w:tc>
          <w:tcPr>
            <w:tcW w:w="3467" w:type="dxa"/>
            <w:vAlign w:val="bottom"/>
          </w:tcPr>
          <w:p w:rsidR="005A5246" w:rsidRPr="00F70194" w:rsidRDefault="005A5246">
            <w:pPr>
              <w:rPr>
                <w:rFonts w:cs="Arial"/>
              </w:rPr>
            </w:pPr>
            <w:r w:rsidRPr="00F70194">
              <w:rPr>
                <w:rFonts w:cs="Arial"/>
              </w:rPr>
              <w:t>TIFF (.tiff)</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txt</w:t>
            </w:r>
          </w:p>
        </w:tc>
        <w:tc>
          <w:tcPr>
            <w:tcW w:w="1418" w:type="dxa"/>
            <w:vAlign w:val="bottom"/>
          </w:tcPr>
          <w:p w:rsidR="005A5246" w:rsidRPr="00F70194" w:rsidRDefault="000A06F6" w:rsidP="000A06F6">
            <w:pPr>
              <w:jc w:val="center"/>
              <w:rPr>
                <w:rFonts w:cs="Arial"/>
              </w:rPr>
            </w:pPr>
            <w:r>
              <w:rPr>
                <w:rFonts w:cs="Arial"/>
              </w:rPr>
              <w:t>X</w:t>
            </w:r>
          </w:p>
        </w:tc>
        <w:tc>
          <w:tcPr>
            <w:tcW w:w="2976" w:type="dxa"/>
            <w:vAlign w:val="bottom"/>
          </w:tcPr>
          <w:p w:rsidR="005A5246" w:rsidRPr="00F70194" w:rsidRDefault="005A5246">
            <w:pPr>
              <w:rPr>
                <w:rFonts w:cs="Arial"/>
              </w:rPr>
            </w:pPr>
            <w:r w:rsidRPr="00F70194">
              <w:rPr>
                <w:rFonts w:cs="Arial"/>
              </w:rPr>
              <w:t>text/plain</w:t>
            </w:r>
          </w:p>
        </w:tc>
        <w:tc>
          <w:tcPr>
            <w:tcW w:w="3467" w:type="dxa"/>
            <w:vAlign w:val="bottom"/>
          </w:tcPr>
          <w:p w:rsidR="005A5246" w:rsidRPr="00F70194" w:rsidRDefault="005A5246">
            <w:pPr>
              <w:rPr>
                <w:rFonts w:cs="Arial"/>
              </w:rPr>
            </w:pPr>
            <w:r w:rsidRPr="00F70194">
              <w:rPr>
                <w:rFonts w:cs="Arial"/>
              </w:rPr>
              <w:t>Text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url</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URL (.url)</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vdx</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XML for Visio Drawing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vor</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StarOffice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vsd</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application/vnd.visio</w:t>
            </w:r>
          </w:p>
        </w:tc>
        <w:tc>
          <w:tcPr>
            <w:tcW w:w="3467" w:type="dxa"/>
            <w:vAlign w:val="bottom"/>
          </w:tcPr>
          <w:p w:rsidR="005A5246" w:rsidRPr="00F70194" w:rsidRDefault="005A5246">
            <w:pPr>
              <w:rPr>
                <w:rFonts w:cs="Arial"/>
              </w:rPr>
            </w:pPr>
            <w:r w:rsidRPr="00F70194">
              <w:rPr>
                <w:rFonts w:cs="Arial"/>
              </w:rPr>
              <w:t>Visio</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vss</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Visio Stencil</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vst</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Visio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vsx</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XML for Visio Stencil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vtx</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XML for Visio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wav</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audio/s-wav</w:t>
            </w:r>
          </w:p>
        </w:tc>
        <w:tc>
          <w:tcPr>
            <w:tcW w:w="3467" w:type="dxa"/>
            <w:vAlign w:val="bottom"/>
          </w:tcPr>
          <w:p w:rsidR="005A5246" w:rsidRPr="00F70194" w:rsidRDefault="005A5246">
            <w:pPr>
              <w:rPr>
                <w:rFonts w:cs="Arial"/>
              </w:rPr>
            </w:pPr>
            <w:r w:rsidRPr="00F70194">
              <w:rPr>
                <w:rFonts w:cs="Arial"/>
              </w:rPr>
              <w:t>WAV 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wk1</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WK1 (1-2-3)</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wk3</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WK3 (1-2-3)</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wk4</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WK4 (1-2-3)</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wmf</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Windows Metafile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wmv</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DirectShow Video</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wp</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Word Perfect (.wp)</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wpd</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Word Perfect (.wpd)</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wpf</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Word Perfect (.wpf)</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wq1</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WQ1 (Quattro Pro/DOS)</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xlam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application/vnd.ms-excel.addin.macroEnabled.12</w:t>
            </w:r>
          </w:p>
        </w:tc>
        <w:tc>
          <w:tcPr>
            <w:tcW w:w="3467" w:type="dxa"/>
            <w:vAlign w:val="bottom"/>
          </w:tcPr>
          <w:p w:rsidR="005A5246" w:rsidRPr="00F70194" w:rsidRDefault="005A5246">
            <w:pPr>
              <w:rPr>
                <w:rFonts w:cs="Arial"/>
              </w:rPr>
            </w:pPr>
            <w:r w:rsidRPr="00F70194">
              <w:rPr>
                <w:rFonts w:cs="Arial"/>
              </w:rPr>
              <w:t>Excel 2007 Macro-Enabled Add-In</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lastRenderedPageBreak/>
              <w:t>xls</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application/msexcel</w:t>
            </w:r>
          </w:p>
        </w:tc>
        <w:tc>
          <w:tcPr>
            <w:tcW w:w="3467" w:type="dxa"/>
            <w:vAlign w:val="bottom"/>
          </w:tcPr>
          <w:p w:rsidR="005A5246" w:rsidRPr="00F70194" w:rsidRDefault="005A5246">
            <w:pPr>
              <w:rPr>
                <w:rFonts w:cs="Arial"/>
              </w:rPr>
            </w:pPr>
            <w:r w:rsidRPr="00F70194">
              <w:rPr>
                <w:rFonts w:cs="Arial"/>
              </w:rPr>
              <w:t>MS Excel</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xlsb</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application/vnd.ms-excel.sheet.binary.macroEnabled.12</w:t>
            </w:r>
          </w:p>
        </w:tc>
        <w:tc>
          <w:tcPr>
            <w:tcW w:w="3467" w:type="dxa"/>
            <w:vAlign w:val="bottom"/>
          </w:tcPr>
          <w:p w:rsidR="005A5246" w:rsidRPr="00F70194" w:rsidRDefault="005A5246">
            <w:pPr>
              <w:rPr>
                <w:rFonts w:cs="Arial"/>
              </w:rPr>
            </w:pPr>
            <w:r w:rsidRPr="00F70194">
              <w:rPr>
                <w:rFonts w:cs="Arial"/>
              </w:rPr>
              <w:t>Excel 2007 Binary Workbook</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xlsm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application/vnd.ms-excel.sheet.macroEnabled.12</w:t>
            </w:r>
          </w:p>
        </w:tc>
        <w:tc>
          <w:tcPr>
            <w:tcW w:w="3467" w:type="dxa"/>
            <w:vAlign w:val="bottom"/>
          </w:tcPr>
          <w:p w:rsidR="005A5246" w:rsidRPr="00F70194" w:rsidRDefault="005A5246">
            <w:pPr>
              <w:rPr>
                <w:rFonts w:cs="Arial"/>
              </w:rPr>
            </w:pPr>
            <w:r w:rsidRPr="00F70194">
              <w:rPr>
                <w:rFonts w:cs="Arial"/>
              </w:rPr>
              <w:t>Excel 2007 Macro-Enabled Workbook</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xlsx</w:t>
            </w:r>
          </w:p>
        </w:tc>
        <w:tc>
          <w:tcPr>
            <w:tcW w:w="1418" w:type="dxa"/>
            <w:vAlign w:val="bottom"/>
          </w:tcPr>
          <w:p w:rsidR="005A5246" w:rsidRPr="00F70194" w:rsidRDefault="005A5246" w:rsidP="00F70194">
            <w:pPr>
              <w:jc w:val="center"/>
              <w:rPr>
                <w:rFonts w:cs="Arial"/>
              </w:rPr>
            </w:pPr>
            <w:r w:rsidRPr="00F70194">
              <w:rPr>
                <w:rFonts w:cs="Arial"/>
              </w:rPr>
              <w:t>X</w:t>
            </w:r>
          </w:p>
        </w:tc>
        <w:tc>
          <w:tcPr>
            <w:tcW w:w="2976" w:type="dxa"/>
            <w:vAlign w:val="bottom"/>
          </w:tcPr>
          <w:p w:rsidR="005A5246" w:rsidRPr="00F70194" w:rsidRDefault="005A5246">
            <w:pPr>
              <w:rPr>
                <w:rFonts w:cs="Arial"/>
              </w:rPr>
            </w:pPr>
            <w:r w:rsidRPr="00F70194">
              <w:rPr>
                <w:rFonts w:cs="Arial"/>
              </w:rPr>
              <w:t>application/vnd.openxmlformats-officedocument.spreadsheetml.sheet</w:t>
            </w:r>
          </w:p>
        </w:tc>
        <w:tc>
          <w:tcPr>
            <w:tcW w:w="3467" w:type="dxa"/>
            <w:vAlign w:val="bottom"/>
          </w:tcPr>
          <w:p w:rsidR="005A5246" w:rsidRPr="00F70194" w:rsidRDefault="005A5246">
            <w:pPr>
              <w:rPr>
                <w:rFonts w:cs="Arial"/>
              </w:rPr>
            </w:pPr>
            <w:r w:rsidRPr="00F70194">
              <w:rPr>
                <w:rFonts w:cs="Arial"/>
              </w:rPr>
              <w:t>Excel 2007 Workbook</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xlt</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Excel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xltm</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Excel 2007 Macro-Enabled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xltx</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application/vnd.openxmlformats-officedocument.spreadsheetml.template</w:t>
            </w:r>
          </w:p>
        </w:tc>
        <w:tc>
          <w:tcPr>
            <w:tcW w:w="3467" w:type="dxa"/>
            <w:vAlign w:val="bottom"/>
          </w:tcPr>
          <w:p w:rsidR="005A5246" w:rsidRPr="00F70194" w:rsidRDefault="005A5246">
            <w:pPr>
              <w:rPr>
                <w:rFonts w:cs="Arial"/>
              </w:rPr>
            </w:pPr>
            <w:r w:rsidRPr="00F70194">
              <w:rPr>
                <w:rFonts w:cs="Arial"/>
              </w:rPr>
              <w:t>Excel 2007 Template</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xlw</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 </w:t>
            </w:r>
          </w:p>
        </w:tc>
        <w:tc>
          <w:tcPr>
            <w:tcW w:w="3467" w:type="dxa"/>
            <w:vAlign w:val="bottom"/>
          </w:tcPr>
          <w:p w:rsidR="005A5246" w:rsidRPr="00F70194" w:rsidRDefault="005A5246">
            <w:pPr>
              <w:rPr>
                <w:rFonts w:cs="Arial"/>
              </w:rPr>
            </w:pPr>
            <w:r w:rsidRPr="00F70194">
              <w:rPr>
                <w:rFonts w:cs="Arial"/>
              </w:rPr>
              <w:t>Microsoft Excel 4.0 Workbook</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xml</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application/xml</w:t>
            </w:r>
          </w:p>
        </w:tc>
        <w:tc>
          <w:tcPr>
            <w:tcW w:w="3467" w:type="dxa"/>
            <w:vAlign w:val="bottom"/>
          </w:tcPr>
          <w:p w:rsidR="005A5246" w:rsidRPr="00F70194" w:rsidRDefault="005A5246">
            <w:pPr>
              <w:rPr>
                <w:rFonts w:cs="Arial"/>
              </w:rPr>
            </w:pPr>
            <w:r w:rsidRPr="00F70194">
              <w:rPr>
                <w:rFonts w:cs="Arial"/>
              </w:rPr>
              <w:t>XML</w:t>
            </w:r>
          </w:p>
        </w:tc>
      </w:tr>
      <w:tr w:rsidR="005A5246" w:rsidRPr="00F70194" w:rsidTr="00F70194">
        <w:tc>
          <w:tcPr>
            <w:tcW w:w="1384" w:type="dxa"/>
            <w:vAlign w:val="bottom"/>
          </w:tcPr>
          <w:p w:rsidR="005A5246" w:rsidRPr="00F70194" w:rsidRDefault="005A5246" w:rsidP="00F70194">
            <w:pPr>
              <w:jc w:val="center"/>
              <w:rPr>
                <w:rFonts w:cs="Arial"/>
              </w:rPr>
            </w:pPr>
            <w:r w:rsidRPr="00F70194">
              <w:rPr>
                <w:rFonts w:cs="Arial"/>
              </w:rPr>
              <w:t>zip</w:t>
            </w:r>
          </w:p>
        </w:tc>
        <w:tc>
          <w:tcPr>
            <w:tcW w:w="1418" w:type="dxa"/>
            <w:vAlign w:val="bottom"/>
          </w:tcPr>
          <w:p w:rsidR="005A5246" w:rsidRPr="00F70194" w:rsidRDefault="005A5246" w:rsidP="00F70194">
            <w:pPr>
              <w:jc w:val="center"/>
              <w:rPr>
                <w:rFonts w:cs="Arial"/>
              </w:rPr>
            </w:pPr>
            <w:r w:rsidRPr="00F70194">
              <w:rPr>
                <w:rFonts w:cs="Arial"/>
              </w:rPr>
              <w:t> </w:t>
            </w:r>
          </w:p>
        </w:tc>
        <w:tc>
          <w:tcPr>
            <w:tcW w:w="2976" w:type="dxa"/>
            <w:vAlign w:val="bottom"/>
          </w:tcPr>
          <w:p w:rsidR="005A5246" w:rsidRPr="00F70194" w:rsidRDefault="005A5246">
            <w:pPr>
              <w:rPr>
                <w:rFonts w:cs="Arial"/>
              </w:rPr>
            </w:pPr>
            <w:r w:rsidRPr="00F70194">
              <w:rPr>
                <w:rFonts w:cs="Arial"/>
              </w:rPr>
              <w:t>application/zip</w:t>
            </w:r>
          </w:p>
        </w:tc>
        <w:tc>
          <w:tcPr>
            <w:tcW w:w="3467" w:type="dxa"/>
            <w:vAlign w:val="bottom"/>
          </w:tcPr>
          <w:p w:rsidR="005A5246" w:rsidRPr="00F70194" w:rsidRDefault="005A5246">
            <w:pPr>
              <w:rPr>
                <w:rFonts w:cs="Arial"/>
              </w:rPr>
            </w:pPr>
            <w:r w:rsidRPr="00F70194">
              <w:rPr>
                <w:rFonts w:cs="Arial"/>
              </w:rPr>
              <w:t>Zip File</w:t>
            </w:r>
          </w:p>
        </w:tc>
      </w:tr>
    </w:tbl>
    <w:p w:rsidR="00CB72D8" w:rsidRPr="00CB72D8" w:rsidRDefault="00CB72D8" w:rsidP="00CB72D8">
      <w:pPr>
        <w:rPr>
          <w:lang w:val="en-US"/>
        </w:rPr>
      </w:pPr>
    </w:p>
    <w:sectPr w:rsidR="00CB72D8" w:rsidRPr="00CB72D8" w:rsidSect="0038284D">
      <w:pgSz w:w="11909" w:h="16834" w:code="9"/>
      <w:pgMar w:top="1440" w:right="1440" w:bottom="1440" w:left="1440" w:header="578" w:footer="4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87F" w:rsidRDefault="00E2587F">
      <w:r>
        <w:separator/>
      </w:r>
    </w:p>
  </w:endnote>
  <w:endnote w:type="continuationSeparator" w:id="0">
    <w:p w:rsidR="00E2587F" w:rsidRDefault="00E25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7F" w:rsidRDefault="00E2587F" w:rsidP="00953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2587F" w:rsidRDefault="00E2587F" w:rsidP="00B24D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7F" w:rsidRPr="00BC2A13" w:rsidRDefault="00634191" w:rsidP="00953A0A">
    <w:pPr>
      <w:pStyle w:val="Footer"/>
      <w:pBdr>
        <w:top w:val="single" w:sz="8" w:space="1" w:color="FF7F08"/>
      </w:pBdr>
      <w:tabs>
        <w:tab w:val="clear" w:pos="4153"/>
        <w:tab w:val="clear" w:pos="8306"/>
        <w:tab w:val="center" w:pos="-2127"/>
        <w:tab w:val="right" w:pos="9072"/>
      </w:tabs>
      <w:spacing w:after="0"/>
      <w:ind w:right="360"/>
      <w:rPr>
        <w:rFonts w:cs="Arial"/>
        <w:snapToGrid w:val="0"/>
        <w:sz w:val="12"/>
        <w:szCs w:val="12"/>
      </w:rPr>
    </w:pPr>
    <w:r>
      <w:rPr>
        <w:rFonts w:cs="Arial"/>
        <w:snapToGrid w:val="0"/>
        <w:sz w:val="12"/>
        <w:szCs w:val="12"/>
      </w:rPr>
      <w:t>Version: 7</w:t>
    </w:r>
    <w:r w:rsidR="00E2587F">
      <w:rPr>
        <w:rFonts w:cs="Arial"/>
        <w:snapToGrid w:val="0"/>
        <w:sz w:val="12"/>
        <w:szCs w:val="12"/>
      </w:rPr>
      <w:t>.0</w:t>
    </w:r>
    <w:r w:rsidR="00E2587F">
      <w:rPr>
        <w:rFonts w:cs="Arial"/>
        <w:snapToGrid w:val="0"/>
        <w:sz w:val="12"/>
        <w:szCs w:val="12"/>
      </w:rPr>
      <w:tab/>
    </w:r>
    <w:r w:rsidR="00E2587F" w:rsidRPr="00846085">
      <w:rPr>
        <w:rFonts w:cs="Arial"/>
        <w:snapToGrid w:val="0"/>
        <w:sz w:val="12"/>
        <w:szCs w:val="12"/>
      </w:rPr>
      <w:t xml:space="preserve">Page </w:t>
    </w:r>
    <w:r w:rsidR="00E2587F" w:rsidRPr="00846085">
      <w:rPr>
        <w:rFonts w:cs="Arial"/>
        <w:snapToGrid w:val="0"/>
        <w:sz w:val="12"/>
        <w:szCs w:val="12"/>
      </w:rPr>
      <w:fldChar w:fldCharType="begin"/>
    </w:r>
    <w:r w:rsidR="00E2587F" w:rsidRPr="00846085">
      <w:rPr>
        <w:rFonts w:cs="Arial"/>
        <w:snapToGrid w:val="0"/>
        <w:sz w:val="12"/>
        <w:szCs w:val="12"/>
      </w:rPr>
      <w:instrText xml:space="preserve"> PAGE </w:instrText>
    </w:r>
    <w:r w:rsidR="00E2587F" w:rsidRPr="00846085">
      <w:rPr>
        <w:rFonts w:cs="Arial"/>
        <w:snapToGrid w:val="0"/>
        <w:sz w:val="12"/>
        <w:szCs w:val="12"/>
      </w:rPr>
      <w:fldChar w:fldCharType="separate"/>
    </w:r>
    <w:r>
      <w:rPr>
        <w:rFonts w:cs="Arial"/>
        <w:noProof/>
        <w:snapToGrid w:val="0"/>
        <w:sz w:val="12"/>
        <w:szCs w:val="12"/>
      </w:rPr>
      <w:t>1</w:t>
    </w:r>
    <w:r w:rsidR="00E2587F" w:rsidRPr="00846085">
      <w:rPr>
        <w:rFonts w:cs="Arial"/>
        <w:snapToGrid w:val="0"/>
        <w:sz w:val="12"/>
        <w:szCs w:val="12"/>
      </w:rPr>
      <w:fldChar w:fldCharType="end"/>
    </w:r>
    <w:r w:rsidR="00E2587F" w:rsidRPr="00846085">
      <w:rPr>
        <w:rFonts w:cs="Arial"/>
        <w:snapToGrid w:val="0"/>
        <w:sz w:val="12"/>
        <w:szCs w:val="12"/>
      </w:rPr>
      <w:t xml:space="preserve"> of </w:t>
    </w:r>
    <w:r w:rsidR="00E2587F" w:rsidRPr="00846085">
      <w:rPr>
        <w:rFonts w:cs="Arial"/>
        <w:snapToGrid w:val="0"/>
        <w:sz w:val="12"/>
        <w:szCs w:val="12"/>
      </w:rPr>
      <w:fldChar w:fldCharType="begin"/>
    </w:r>
    <w:r w:rsidR="00E2587F" w:rsidRPr="00846085">
      <w:rPr>
        <w:rFonts w:cs="Arial"/>
        <w:snapToGrid w:val="0"/>
        <w:sz w:val="12"/>
        <w:szCs w:val="12"/>
      </w:rPr>
      <w:instrText xml:space="preserve"> NUMPAGES </w:instrText>
    </w:r>
    <w:r w:rsidR="00E2587F" w:rsidRPr="00846085">
      <w:rPr>
        <w:rFonts w:cs="Arial"/>
        <w:snapToGrid w:val="0"/>
        <w:sz w:val="12"/>
        <w:szCs w:val="12"/>
      </w:rPr>
      <w:fldChar w:fldCharType="separate"/>
    </w:r>
    <w:r>
      <w:rPr>
        <w:rFonts w:cs="Arial"/>
        <w:noProof/>
        <w:snapToGrid w:val="0"/>
        <w:sz w:val="12"/>
        <w:szCs w:val="12"/>
      </w:rPr>
      <w:t>68</w:t>
    </w:r>
    <w:r w:rsidR="00E2587F" w:rsidRPr="00846085">
      <w:rPr>
        <w:rFonts w:cs="Arial"/>
        <w:snapToGrid w:val="0"/>
        <w:sz w:val="12"/>
        <w:szCs w:val="12"/>
      </w:rPr>
      <w:fldChar w:fldCharType="end"/>
    </w:r>
  </w:p>
  <w:p w:rsidR="00634191" w:rsidRDefault="00E2587F" w:rsidP="00E074F7">
    <w:pPr>
      <w:pStyle w:val="Footer"/>
      <w:pBdr>
        <w:top w:val="single" w:sz="8" w:space="1" w:color="FF7F08"/>
      </w:pBdr>
      <w:tabs>
        <w:tab w:val="clear" w:pos="4153"/>
        <w:tab w:val="clear" w:pos="8306"/>
        <w:tab w:val="center" w:pos="-2127"/>
        <w:tab w:val="right" w:pos="9072"/>
      </w:tabs>
      <w:spacing w:after="0"/>
      <w:rPr>
        <w:rFonts w:cs="Arial"/>
        <w:snapToGrid w:val="0"/>
        <w:sz w:val="12"/>
        <w:szCs w:val="12"/>
      </w:rPr>
    </w:pPr>
    <w:r w:rsidRPr="00ED1180">
      <w:rPr>
        <w:rFonts w:cs="Arial"/>
        <w:snapToGrid w:val="0"/>
        <w:sz w:val="12"/>
        <w:szCs w:val="12"/>
      </w:rPr>
      <w:t xml:space="preserve">Created on </w:t>
    </w:r>
    <w:r w:rsidR="00634191">
      <w:rPr>
        <w:rFonts w:cs="Arial"/>
        <w:snapToGrid w:val="0"/>
        <w:sz w:val="12"/>
        <w:szCs w:val="12"/>
      </w:rPr>
      <w:t>01/09/2014</w:t>
    </w:r>
  </w:p>
  <w:p w:rsidR="00E2587F" w:rsidRPr="00456DF1" w:rsidRDefault="00E2587F" w:rsidP="00BF0B79">
    <w:pPr>
      <w:rPr>
        <w:sz w:val="12"/>
      </w:rPr>
    </w:pPr>
    <w:r w:rsidRPr="00456DF1">
      <w:rPr>
        <w:sz w:val="12"/>
      </w:rPr>
      <w:t>Lloyd's Sys</w:t>
    </w:r>
    <w:r>
      <w:rPr>
        <w:sz w:val="12"/>
      </w:rPr>
      <w:t>tems Processes and Procedures v6</w:t>
    </w:r>
    <w:r w:rsidRPr="00456DF1">
      <w:rPr>
        <w:sz w:val="12"/>
      </w:rPr>
      <w:t>.0.doc</w:t>
    </w:r>
  </w:p>
  <w:p w:rsidR="00E2587F" w:rsidRPr="0038284D" w:rsidRDefault="00E2587F" w:rsidP="00621120">
    <w:pPr>
      <w:pStyle w:val="Footer"/>
      <w:pBdr>
        <w:top w:val="single" w:sz="8" w:space="1" w:color="FF7F08"/>
      </w:pBdr>
      <w:tabs>
        <w:tab w:val="clear" w:pos="4153"/>
        <w:tab w:val="clear" w:pos="8306"/>
        <w:tab w:val="center" w:pos="-2127"/>
        <w:tab w:val="right" w:pos="9072"/>
      </w:tabs>
      <w:spacing w:after="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87F" w:rsidRDefault="00E2587F">
      <w:r>
        <w:separator/>
      </w:r>
    </w:p>
  </w:footnote>
  <w:footnote w:type="continuationSeparator" w:id="0">
    <w:p w:rsidR="00E2587F" w:rsidRDefault="00E25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7F" w:rsidRDefault="00E2587F" w:rsidP="00E074F7">
    <w:pPr>
      <w:pBdr>
        <w:bottom w:val="single" w:sz="8" w:space="6" w:color="FF7F08"/>
      </w:pBdr>
      <w:tabs>
        <w:tab w:val="right" w:pos="9000"/>
      </w:tabs>
      <w:spacing w:after="0"/>
      <w:ind w:right="28"/>
      <w:jc w:val="right"/>
    </w:pPr>
    <w:r>
      <w:t>London Market Group Secretariat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0AE"/>
    <w:multiLevelType w:val="hybridMultilevel"/>
    <w:tmpl w:val="6438373A"/>
    <w:lvl w:ilvl="0" w:tplc="763420C8">
      <w:start w:val="1"/>
      <w:numFmt w:val="bullet"/>
      <w:lvlText w:val=""/>
      <w:lvlJc w:val="left"/>
      <w:pPr>
        <w:tabs>
          <w:tab w:val="num" w:pos="284"/>
        </w:tabs>
        <w:ind w:left="284" w:hanging="17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0915DE7"/>
    <w:multiLevelType w:val="hybridMultilevel"/>
    <w:tmpl w:val="6430DD3E"/>
    <w:lvl w:ilvl="0" w:tplc="50CE5EB6">
      <w:start w:val="1"/>
      <w:numFmt w:val="bullet"/>
      <w:lvlText w:val=""/>
      <w:lvlJc w:val="left"/>
      <w:pPr>
        <w:tabs>
          <w:tab w:val="num" w:pos="720"/>
        </w:tabs>
        <w:ind w:left="720" w:hanging="360"/>
      </w:pPr>
      <w:rPr>
        <w:rFonts w:ascii="Symbol" w:hAnsi="Symbol" w:hint="default"/>
      </w:rPr>
    </w:lvl>
    <w:lvl w:ilvl="1" w:tplc="D5583868" w:tentative="1">
      <w:start w:val="1"/>
      <w:numFmt w:val="bullet"/>
      <w:lvlText w:val=""/>
      <w:lvlJc w:val="left"/>
      <w:pPr>
        <w:tabs>
          <w:tab w:val="num" w:pos="1440"/>
        </w:tabs>
        <w:ind w:left="1440" w:hanging="360"/>
      </w:pPr>
      <w:rPr>
        <w:rFonts w:ascii="Symbol" w:hAnsi="Symbol" w:hint="default"/>
      </w:rPr>
    </w:lvl>
    <w:lvl w:ilvl="2" w:tplc="4C26DF6C">
      <w:start w:val="1"/>
      <w:numFmt w:val="bullet"/>
      <w:lvlText w:val=""/>
      <w:lvlJc w:val="left"/>
      <w:pPr>
        <w:tabs>
          <w:tab w:val="num" w:pos="2160"/>
        </w:tabs>
        <w:ind w:left="2160" w:hanging="360"/>
      </w:pPr>
      <w:rPr>
        <w:rFonts w:ascii="Symbol" w:hAnsi="Symbol" w:hint="default"/>
      </w:rPr>
    </w:lvl>
    <w:lvl w:ilvl="3" w:tplc="AD52A5BE" w:tentative="1">
      <w:start w:val="1"/>
      <w:numFmt w:val="bullet"/>
      <w:lvlText w:val=""/>
      <w:lvlJc w:val="left"/>
      <w:pPr>
        <w:tabs>
          <w:tab w:val="num" w:pos="2880"/>
        </w:tabs>
        <w:ind w:left="2880" w:hanging="360"/>
      </w:pPr>
      <w:rPr>
        <w:rFonts w:ascii="Symbol" w:hAnsi="Symbol" w:hint="default"/>
      </w:rPr>
    </w:lvl>
    <w:lvl w:ilvl="4" w:tplc="FDBCDC78" w:tentative="1">
      <w:start w:val="1"/>
      <w:numFmt w:val="bullet"/>
      <w:lvlText w:val=""/>
      <w:lvlJc w:val="left"/>
      <w:pPr>
        <w:tabs>
          <w:tab w:val="num" w:pos="3600"/>
        </w:tabs>
        <w:ind w:left="3600" w:hanging="360"/>
      </w:pPr>
      <w:rPr>
        <w:rFonts w:ascii="Symbol" w:hAnsi="Symbol" w:hint="default"/>
      </w:rPr>
    </w:lvl>
    <w:lvl w:ilvl="5" w:tplc="71F89082" w:tentative="1">
      <w:start w:val="1"/>
      <w:numFmt w:val="bullet"/>
      <w:lvlText w:val=""/>
      <w:lvlJc w:val="left"/>
      <w:pPr>
        <w:tabs>
          <w:tab w:val="num" w:pos="4320"/>
        </w:tabs>
        <w:ind w:left="4320" w:hanging="360"/>
      </w:pPr>
      <w:rPr>
        <w:rFonts w:ascii="Symbol" w:hAnsi="Symbol" w:hint="default"/>
      </w:rPr>
    </w:lvl>
    <w:lvl w:ilvl="6" w:tplc="3B6CFF12" w:tentative="1">
      <w:start w:val="1"/>
      <w:numFmt w:val="bullet"/>
      <w:lvlText w:val=""/>
      <w:lvlJc w:val="left"/>
      <w:pPr>
        <w:tabs>
          <w:tab w:val="num" w:pos="5040"/>
        </w:tabs>
        <w:ind w:left="5040" w:hanging="360"/>
      </w:pPr>
      <w:rPr>
        <w:rFonts w:ascii="Symbol" w:hAnsi="Symbol" w:hint="default"/>
      </w:rPr>
    </w:lvl>
    <w:lvl w:ilvl="7" w:tplc="00A87914" w:tentative="1">
      <w:start w:val="1"/>
      <w:numFmt w:val="bullet"/>
      <w:lvlText w:val=""/>
      <w:lvlJc w:val="left"/>
      <w:pPr>
        <w:tabs>
          <w:tab w:val="num" w:pos="5760"/>
        </w:tabs>
        <w:ind w:left="5760" w:hanging="360"/>
      </w:pPr>
      <w:rPr>
        <w:rFonts w:ascii="Symbol" w:hAnsi="Symbol" w:hint="default"/>
      </w:rPr>
    </w:lvl>
    <w:lvl w:ilvl="8" w:tplc="8D160D46" w:tentative="1">
      <w:start w:val="1"/>
      <w:numFmt w:val="bullet"/>
      <w:lvlText w:val=""/>
      <w:lvlJc w:val="left"/>
      <w:pPr>
        <w:tabs>
          <w:tab w:val="num" w:pos="6480"/>
        </w:tabs>
        <w:ind w:left="6480" w:hanging="360"/>
      </w:pPr>
      <w:rPr>
        <w:rFonts w:ascii="Symbol" w:hAnsi="Symbol" w:hint="default"/>
      </w:rPr>
    </w:lvl>
  </w:abstractNum>
  <w:abstractNum w:abstractNumId="2">
    <w:nsid w:val="0374399E"/>
    <w:multiLevelType w:val="hybridMultilevel"/>
    <w:tmpl w:val="4920D0E6"/>
    <w:lvl w:ilvl="0" w:tplc="B4CEC26C">
      <w:start w:val="1"/>
      <w:numFmt w:val="bullet"/>
      <w:lvlText w:val=""/>
      <w:lvlJc w:val="left"/>
      <w:pPr>
        <w:tabs>
          <w:tab w:val="num" w:pos="720"/>
        </w:tabs>
        <w:ind w:left="720" w:hanging="360"/>
      </w:pPr>
      <w:rPr>
        <w:rFonts w:ascii="Symbol" w:hAnsi="Symbol" w:hint="default"/>
      </w:rPr>
    </w:lvl>
    <w:lvl w:ilvl="1" w:tplc="56A4351A" w:tentative="1">
      <w:start w:val="1"/>
      <w:numFmt w:val="bullet"/>
      <w:lvlText w:val=""/>
      <w:lvlJc w:val="left"/>
      <w:pPr>
        <w:tabs>
          <w:tab w:val="num" w:pos="1440"/>
        </w:tabs>
        <w:ind w:left="1440" w:hanging="360"/>
      </w:pPr>
      <w:rPr>
        <w:rFonts w:ascii="Symbol" w:hAnsi="Symbol" w:hint="default"/>
      </w:rPr>
    </w:lvl>
    <w:lvl w:ilvl="2" w:tplc="7C80C39E">
      <w:start w:val="1"/>
      <w:numFmt w:val="bullet"/>
      <w:lvlText w:val=""/>
      <w:lvlJc w:val="left"/>
      <w:pPr>
        <w:tabs>
          <w:tab w:val="num" w:pos="2160"/>
        </w:tabs>
        <w:ind w:left="2160" w:hanging="360"/>
      </w:pPr>
      <w:rPr>
        <w:rFonts w:ascii="Symbol" w:hAnsi="Symbol" w:hint="default"/>
      </w:rPr>
    </w:lvl>
    <w:lvl w:ilvl="3" w:tplc="3AF432A6" w:tentative="1">
      <w:start w:val="1"/>
      <w:numFmt w:val="bullet"/>
      <w:lvlText w:val=""/>
      <w:lvlJc w:val="left"/>
      <w:pPr>
        <w:tabs>
          <w:tab w:val="num" w:pos="2880"/>
        </w:tabs>
        <w:ind w:left="2880" w:hanging="360"/>
      </w:pPr>
      <w:rPr>
        <w:rFonts w:ascii="Symbol" w:hAnsi="Symbol" w:hint="default"/>
      </w:rPr>
    </w:lvl>
    <w:lvl w:ilvl="4" w:tplc="7BE21B1A" w:tentative="1">
      <w:start w:val="1"/>
      <w:numFmt w:val="bullet"/>
      <w:lvlText w:val=""/>
      <w:lvlJc w:val="left"/>
      <w:pPr>
        <w:tabs>
          <w:tab w:val="num" w:pos="3600"/>
        </w:tabs>
        <w:ind w:left="3600" w:hanging="360"/>
      </w:pPr>
      <w:rPr>
        <w:rFonts w:ascii="Symbol" w:hAnsi="Symbol" w:hint="default"/>
      </w:rPr>
    </w:lvl>
    <w:lvl w:ilvl="5" w:tplc="07F210C4" w:tentative="1">
      <w:start w:val="1"/>
      <w:numFmt w:val="bullet"/>
      <w:lvlText w:val=""/>
      <w:lvlJc w:val="left"/>
      <w:pPr>
        <w:tabs>
          <w:tab w:val="num" w:pos="4320"/>
        </w:tabs>
        <w:ind w:left="4320" w:hanging="360"/>
      </w:pPr>
      <w:rPr>
        <w:rFonts w:ascii="Symbol" w:hAnsi="Symbol" w:hint="default"/>
      </w:rPr>
    </w:lvl>
    <w:lvl w:ilvl="6" w:tplc="AC803FAC" w:tentative="1">
      <w:start w:val="1"/>
      <w:numFmt w:val="bullet"/>
      <w:lvlText w:val=""/>
      <w:lvlJc w:val="left"/>
      <w:pPr>
        <w:tabs>
          <w:tab w:val="num" w:pos="5040"/>
        </w:tabs>
        <w:ind w:left="5040" w:hanging="360"/>
      </w:pPr>
      <w:rPr>
        <w:rFonts w:ascii="Symbol" w:hAnsi="Symbol" w:hint="default"/>
      </w:rPr>
    </w:lvl>
    <w:lvl w:ilvl="7" w:tplc="1780ED16" w:tentative="1">
      <w:start w:val="1"/>
      <w:numFmt w:val="bullet"/>
      <w:lvlText w:val=""/>
      <w:lvlJc w:val="left"/>
      <w:pPr>
        <w:tabs>
          <w:tab w:val="num" w:pos="5760"/>
        </w:tabs>
        <w:ind w:left="5760" w:hanging="360"/>
      </w:pPr>
      <w:rPr>
        <w:rFonts w:ascii="Symbol" w:hAnsi="Symbol" w:hint="default"/>
      </w:rPr>
    </w:lvl>
    <w:lvl w:ilvl="8" w:tplc="18FE3114" w:tentative="1">
      <w:start w:val="1"/>
      <w:numFmt w:val="bullet"/>
      <w:lvlText w:val=""/>
      <w:lvlJc w:val="left"/>
      <w:pPr>
        <w:tabs>
          <w:tab w:val="num" w:pos="6480"/>
        </w:tabs>
        <w:ind w:left="6480" w:hanging="360"/>
      </w:pPr>
      <w:rPr>
        <w:rFonts w:ascii="Symbol" w:hAnsi="Symbol" w:hint="default"/>
      </w:rPr>
    </w:lvl>
  </w:abstractNum>
  <w:abstractNum w:abstractNumId="3">
    <w:nsid w:val="03CA098B"/>
    <w:multiLevelType w:val="multilevel"/>
    <w:tmpl w:val="1BE442E8"/>
    <w:lvl w:ilvl="0">
      <w:start w:val="1"/>
      <w:numFmt w:val="decimal"/>
      <w:lvlText w:val="%1."/>
      <w:lvlJc w:val="left"/>
      <w:pPr>
        <w:tabs>
          <w:tab w:val="num" w:pos="360"/>
        </w:tabs>
        <w:ind w:left="360" w:hanging="360"/>
      </w:pPr>
      <w:rPr>
        <w:rFonts w:hint="default"/>
        <w:b w:val="0"/>
        <w:i w:val="0"/>
        <w:color w:val="auto"/>
      </w:rPr>
    </w:lvl>
    <w:lvl w:ilvl="1">
      <w:start w:val="3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3D77B7E"/>
    <w:multiLevelType w:val="hybridMultilevel"/>
    <w:tmpl w:val="AB08CCA6"/>
    <w:lvl w:ilvl="0" w:tplc="EEE0A2F6">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06BE4CA7"/>
    <w:multiLevelType w:val="hybridMultilevel"/>
    <w:tmpl w:val="BC3849AC"/>
    <w:lvl w:ilvl="0" w:tplc="12C4406E">
      <w:start w:val="1"/>
      <w:numFmt w:val="bullet"/>
      <w:lvlText w:val=""/>
      <w:lvlJc w:val="left"/>
      <w:pPr>
        <w:tabs>
          <w:tab w:val="num" w:pos="284"/>
        </w:tabs>
        <w:ind w:left="284" w:hanging="171"/>
      </w:pPr>
      <w:rPr>
        <w:rFonts w:ascii="Symbol" w:hAnsi="Symbol" w:hint="default"/>
      </w:rPr>
    </w:lvl>
    <w:lvl w:ilvl="1" w:tplc="4B68359C">
      <w:start w:val="1"/>
      <w:numFmt w:val="bullet"/>
      <w:lvlText w:val="-"/>
      <w:lvlJc w:val="left"/>
      <w:pPr>
        <w:tabs>
          <w:tab w:val="num" w:pos="397"/>
        </w:tabs>
        <w:ind w:left="397" w:hanging="113"/>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8A002E7"/>
    <w:multiLevelType w:val="hybridMultilevel"/>
    <w:tmpl w:val="09ECFEBE"/>
    <w:lvl w:ilvl="0" w:tplc="EEE0A2F6">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0B5B4BA5"/>
    <w:multiLevelType w:val="hybridMultilevel"/>
    <w:tmpl w:val="DDA82FDC"/>
    <w:lvl w:ilvl="0" w:tplc="6F244A3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DBC0D99"/>
    <w:multiLevelType w:val="hybridMultilevel"/>
    <w:tmpl w:val="CFE2BF1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0EB26C87"/>
    <w:multiLevelType w:val="hybridMultilevel"/>
    <w:tmpl w:val="440005CA"/>
    <w:lvl w:ilvl="0" w:tplc="EEE0A2F6">
      <w:start w:val="1"/>
      <w:numFmt w:val="decimal"/>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
    <w:nsid w:val="108B5F67"/>
    <w:multiLevelType w:val="multilevel"/>
    <w:tmpl w:val="984E5BDE"/>
    <w:lvl w:ilvl="0">
      <w:start w:val="4"/>
      <w:numFmt w:val="decimal"/>
      <w:lvlText w:val="%1"/>
      <w:lvlJc w:val="left"/>
      <w:pPr>
        <w:ind w:left="540" w:hanging="540"/>
      </w:pPr>
      <w:rPr>
        <w:rFonts w:hint="default"/>
      </w:rPr>
    </w:lvl>
    <w:lvl w:ilvl="1">
      <w:start w:val="33"/>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621277"/>
    <w:multiLevelType w:val="hybridMultilevel"/>
    <w:tmpl w:val="0998918E"/>
    <w:lvl w:ilvl="0" w:tplc="019C276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25C18E7"/>
    <w:multiLevelType w:val="hybridMultilevel"/>
    <w:tmpl w:val="F508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91049E"/>
    <w:multiLevelType w:val="hybridMultilevel"/>
    <w:tmpl w:val="C0AE8B98"/>
    <w:lvl w:ilvl="0" w:tplc="08090001">
      <w:start w:val="1"/>
      <w:numFmt w:val="bullet"/>
      <w:lvlText w:val=""/>
      <w:lvlJc w:val="left"/>
      <w:pPr>
        <w:tabs>
          <w:tab w:val="num" w:pos="-340"/>
        </w:tabs>
        <w:ind w:left="-340" w:hanging="397"/>
      </w:pPr>
      <w:rPr>
        <w:rFonts w:ascii="Symbol" w:hAnsi="Symbol" w:hint="default"/>
        <w:color w:val="auto"/>
      </w:rPr>
    </w:lvl>
    <w:lvl w:ilvl="1" w:tplc="08090003">
      <w:start w:val="1"/>
      <w:numFmt w:val="bullet"/>
      <w:lvlText w:val="o"/>
      <w:lvlJc w:val="left"/>
      <w:pPr>
        <w:tabs>
          <w:tab w:val="num" w:pos="703"/>
        </w:tabs>
        <w:ind w:left="703" w:hanging="360"/>
      </w:pPr>
      <w:rPr>
        <w:rFonts w:ascii="Courier New" w:hAnsi="Courier New" w:hint="default"/>
      </w:rPr>
    </w:lvl>
    <w:lvl w:ilvl="2" w:tplc="08090005" w:tentative="1">
      <w:start w:val="1"/>
      <w:numFmt w:val="bullet"/>
      <w:lvlText w:val=""/>
      <w:lvlJc w:val="left"/>
      <w:pPr>
        <w:tabs>
          <w:tab w:val="num" w:pos="1423"/>
        </w:tabs>
        <w:ind w:left="1423" w:hanging="360"/>
      </w:pPr>
      <w:rPr>
        <w:rFonts w:ascii="Wingdings" w:hAnsi="Wingdings" w:hint="default"/>
      </w:rPr>
    </w:lvl>
    <w:lvl w:ilvl="3" w:tplc="08090001" w:tentative="1">
      <w:start w:val="1"/>
      <w:numFmt w:val="bullet"/>
      <w:lvlText w:val=""/>
      <w:lvlJc w:val="left"/>
      <w:pPr>
        <w:tabs>
          <w:tab w:val="num" w:pos="2143"/>
        </w:tabs>
        <w:ind w:left="2143" w:hanging="360"/>
      </w:pPr>
      <w:rPr>
        <w:rFonts w:ascii="Symbol" w:hAnsi="Symbol" w:hint="default"/>
      </w:rPr>
    </w:lvl>
    <w:lvl w:ilvl="4" w:tplc="08090003">
      <w:start w:val="1"/>
      <w:numFmt w:val="bullet"/>
      <w:lvlText w:val="o"/>
      <w:lvlJc w:val="left"/>
      <w:pPr>
        <w:tabs>
          <w:tab w:val="num" w:pos="2863"/>
        </w:tabs>
        <w:ind w:left="2863" w:hanging="360"/>
      </w:pPr>
      <w:rPr>
        <w:rFonts w:ascii="Courier New" w:hAnsi="Courier New" w:hint="default"/>
      </w:rPr>
    </w:lvl>
    <w:lvl w:ilvl="5" w:tplc="08090005" w:tentative="1">
      <w:start w:val="1"/>
      <w:numFmt w:val="bullet"/>
      <w:lvlText w:val=""/>
      <w:lvlJc w:val="left"/>
      <w:pPr>
        <w:tabs>
          <w:tab w:val="num" w:pos="3583"/>
        </w:tabs>
        <w:ind w:left="3583" w:hanging="360"/>
      </w:pPr>
      <w:rPr>
        <w:rFonts w:ascii="Wingdings" w:hAnsi="Wingdings" w:hint="default"/>
      </w:rPr>
    </w:lvl>
    <w:lvl w:ilvl="6" w:tplc="08090001" w:tentative="1">
      <w:start w:val="1"/>
      <w:numFmt w:val="bullet"/>
      <w:lvlText w:val=""/>
      <w:lvlJc w:val="left"/>
      <w:pPr>
        <w:tabs>
          <w:tab w:val="num" w:pos="4303"/>
        </w:tabs>
        <w:ind w:left="4303" w:hanging="360"/>
      </w:pPr>
      <w:rPr>
        <w:rFonts w:ascii="Symbol" w:hAnsi="Symbol" w:hint="default"/>
      </w:rPr>
    </w:lvl>
    <w:lvl w:ilvl="7" w:tplc="08090003" w:tentative="1">
      <w:start w:val="1"/>
      <w:numFmt w:val="bullet"/>
      <w:lvlText w:val="o"/>
      <w:lvlJc w:val="left"/>
      <w:pPr>
        <w:tabs>
          <w:tab w:val="num" w:pos="5023"/>
        </w:tabs>
        <w:ind w:left="5023" w:hanging="360"/>
      </w:pPr>
      <w:rPr>
        <w:rFonts w:ascii="Courier New" w:hAnsi="Courier New" w:hint="default"/>
      </w:rPr>
    </w:lvl>
    <w:lvl w:ilvl="8" w:tplc="08090005" w:tentative="1">
      <w:start w:val="1"/>
      <w:numFmt w:val="bullet"/>
      <w:lvlText w:val=""/>
      <w:lvlJc w:val="left"/>
      <w:pPr>
        <w:tabs>
          <w:tab w:val="num" w:pos="5743"/>
        </w:tabs>
        <w:ind w:left="5743" w:hanging="360"/>
      </w:pPr>
      <w:rPr>
        <w:rFonts w:ascii="Wingdings" w:hAnsi="Wingdings" w:hint="default"/>
      </w:rPr>
    </w:lvl>
  </w:abstractNum>
  <w:abstractNum w:abstractNumId="14">
    <w:nsid w:val="14971484"/>
    <w:multiLevelType w:val="hybridMultilevel"/>
    <w:tmpl w:val="85C433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5494AD3"/>
    <w:multiLevelType w:val="hybridMultilevel"/>
    <w:tmpl w:val="D72065DC"/>
    <w:lvl w:ilvl="0" w:tplc="C53632FE">
      <w:start w:val="1"/>
      <w:numFmt w:val="bullet"/>
      <w:lvlText w:val=""/>
      <w:lvlJc w:val="left"/>
      <w:pPr>
        <w:tabs>
          <w:tab w:val="num" w:pos="284"/>
        </w:tabs>
        <w:ind w:left="284" w:hanging="171"/>
      </w:pPr>
      <w:rPr>
        <w:rFonts w:ascii="Symbol" w:hAnsi="Symbol" w:hint="default"/>
      </w:rPr>
    </w:lvl>
    <w:lvl w:ilvl="1" w:tplc="A190A312" w:tentative="1">
      <w:start w:val="1"/>
      <w:numFmt w:val="bullet"/>
      <w:lvlText w:val="o"/>
      <w:lvlJc w:val="left"/>
      <w:pPr>
        <w:tabs>
          <w:tab w:val="num" w:pos="1553"/>
        </w:tabs>
        <w:ind w:left="1553" w:hanging="360"/>
      </w:pPr>
      <w:rPr>
        <w:rFonts w:ascii="Courier New" w:hAnsi="Courier New" w:hint="default"/>
      </w:rPr>
    </w:lvl>
    <w:lvl w:ilvl="2" w:tplc="8418FA82" w:tentative="1">
      <w:start w:val="1"/>
      <w:numFmt w:val="bullet"/>
      <w:lvlText w:val=""/>
      <w:lvlJc w:val="left"/>
      <w:pPr>
        <w:tabs>
          <w:tab w:val="num" w:pos="2273"/>
        </w:tabs>
        <w:ind w:left="2273" w:hanging="360"/>
      </w:pPr>
      <w:rPr>
        <w:rFonts w:ascii="Wingdings" w:hAnsi="Wingdings" w:hint="default"/>
      </w:rPr>
    </w:lvl>
    <w:lvl w:ilvl="3" w:tplc="141CF602" w:tentative="1">
      <w:start w:val="1"/>
      <w:numFmt w:val="bullet"/>
      <w:lvlText w:val=""/>
      <w:lvlJc w:val="left"/>
      <w:pPr>
        <w:tabs>
          <w:tab w:val="num" w:pos="2993"/>
        </w:tabs>
        <w:ind w:left="2993" w:hanging="360"/>
      </w:pPr>
      <w:rPr>
        <w:rFonts w:ascii="Symbol" w:hAnsi="Symbol" w:hint="default"/>
      </w:rPr>
    </w:lvl>
    <w:lvl w:ilvl="4" w:tplc="753ACE40" w:tentative="1">
      <w:start w:val="1"/>
      <w:numFmt w:val="bullet"/>
      <w:lvlText w:val="o"/>
      <w:lvlJc w:val="left"/>
      <w:pPr>
        <w:tabs>
          <w:tab w:val="num" w:pos="3713"/>
        </w:tabs>
        <w:ind w:left="3713" w:hanging="360"/>
      </w:pPr>
      <w:rPr>
        <w:rFonts w:ascii="Courier New" w:hAnsi="Courier New" w:hint="default"/>
      </w:rPr>
    </w:lvl>
    <w:lvl w:ilvl="5" w:tplc="22C8A6C8" w:tentative="1">
      <w:start w:val="1"/>
      <w:numFmt w:val="bullet"/>
      <w:lvlText w:val=""/>
      <w:lvlJc w:val="left"/>
      <w:pPr>
        <w:tabs>
          <w:tab w:val="num" w:pos="4433"/>
        </w:tabs>
        <w:ind w:left="4433" w:hanging="360"/>
      </w:pPr>
      <w:rPr>
        <w:rFonts w:ascii="Wingdings" w:hAnsi="Wingdings" w:hint="default"/>
      </w:rPr>
    </w:lvl>
    <w:lvl w:ilvl="6" w:tplc="E488E0C0" w:tentative="1">
      <w:start w:val="1"/>
      <w:numFmt w:val="bullet"/>
      <w:lvlText w:val=""/>
      <w:lvlJc w:val="left"/>
      <w:pPr>
        <w:tabs>
          <w:tab w:val="num" w:pos="5153"/>
        </w:tabs>
        <w:ind w:left="5153" w:hanging="360"/>
      </w:pPr>
      <w:rPr>
        <w:rFonts w:ascii="Symbol" w:hAnsi="Symbol" w:hint="default"/>
      </w:rPr>
    </w:lvl>
    <w:lvl w:ilvl="7" w:tplc="CB701180" w:tentative="1">
      <w:start w:val="1"/>
      <w:numFmt w:val="bullet"/>
      <w:lvlText w:val="o"/>
      <w:lvlJc w:val="left"/>
      <w:pPr>
        <w:tabs>
          <w:tab w:val="num" w:pos="5873"/>
        </w:tabs>
        <w:ind w:left="5873" w:hanging="360"/>
      </w:pPr>
      <w:rPr>
        <w:rFonts w:ascii="Courier New" w:hAnsi="Courier New" w:hint="default"/>
      </w:rPr>
    </w:lvl>
    <w:lvl w:ilvl="8" w:tplc="D1F40A14" w:tentative="1">
      <w:start w:val="1"/>
      <w:numFmt w:val="bullet"/>
      <w:lvlText w:val=""/>
      <w:lvlJc w:val="left"/>
      <w:pPr>
        <w:tabs>
          <w:tab w:val="num" w:pos="6593"/>
        </w:tabs>
        <w:ind w:left="6593" w:hanging="360"/>
      </w:pPr>
      <w:rPr>
        <w:rFonts w:ascii="Wingdings" w:hAnsi="Wingdings" w:hint="default"/>
      </w:rPr>
    </w:lvl>
  </w:abstractNum>
  <w:abstractNum w:abstractNumId="16">
    <w:nsid w:val="18B50964"/>
    <w:multiLevelType w:val="hybridMultilevel"/>
    <w:tmpl w:val="DEE46112"/>
    <w:lvl w:ilvl="0" w:tplc="C16E0976">
      <w:start w:val="1"/>
      <w:numFmt w:val="bullet"/>
      <w:lvlText w:val=""/>
      <w:lvlJc w:val="left"/>
      <w:pPr>
        <w:tabs>
          <w:tab w:val="num" w:pos="397"/>
        </w:tabs>
        <w:ind w:left="397" w:hanging="397"/>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B4D07A3"/>
    <w:multiLevelType w:val="hybridMultilevel"/>
    <w:tmpl w:val="396657E6"/>
    <w:lvl w:ilvl="0" w:tplc="684C81D4">
      <w:start w:val="1"/>
      <w:numFmt w:val="bullet"/>
      <w:lvlText w:val=""/>
      <w:lvlJc w:val="left"/>
      <w:pPr>
        <w:tabs>
          <w:tab w:val="num" w:pos="720"/>
        </w:tabs>
        <w:ind w:left="720" w:hanging="360"/>
      </w:pPr>
      <w:rPr>
        <w:rFonts w:ascii="Symbol" w:hAnsi="Symbol" w:hint="default"/>
      </w:rPr>
    </w:lvl>
    <w:lvl w:ilvl="1" w:tplc="2F1488CA" w:tentative="1">
      <w:start w:val="1"/>
      <w:numFmt w:val="bullet"/>
      <w:lvlText w:val="o"/>
      <w:lvlJc w:val="left"/>
      <w:pPr>
        <w:tabs>
          <w:tab w:val="num" w:pos="1440"/>
        </w:tabs>
        <w:ind w:left="1440" w:hanging="360"/>
      </w:pPr>
      <w:rPr>
        <w:rFonts w:ascii="Courier New" w:hAnsi="Courier New" w:hint="default"/>
      </w:rPr>
    </w:lvl>
    <w:lvl w:ilvl="2" w:tplc="556212E6" w:tentative="1">
      <w:start w:val="1"/>
      <w:numFmt w:val="bullet"/>
      <w:lvlText w:val=""/>
      <w:lvlJc w:val="left"/>
      <w:pPr>
        <w:tabs>
          <w:tab w:val="num" w:pos="2160"/>
        </w:tabs>
        <w:ind w:left="2160" w:hanging="360"/>
      </w:pPr>
      <w:rPr>
        <w:rFonts w:ascii="Wingdings" w:hAnsi="Wingdings" w:hint="default"/>
      </w:rPr>
    </w:lvl>
    <w:lvl w:ilvl="3" w:tplc="7046ACEE" w:tentative="1">
      <w:start w:val="1"/>
      <w:numFmt w:val="bullet"/>
      <w:lvlText w:val=""/>
      <w:lvlJc w:val="left"/>
      <w:pPr>
        <w:tabs>
          <w:tab w:val="num" w:pos="2880"/>
        </w:tabs>
        <w:ind w:left="2880" w:hanging="360"/>
      </w:pPr>
      <w:rPr>
        <w:rFonts w:ascii="Symbol" w:hAnsi="Symbol" w:hint="default"/>
      </w:rPr>
    </w:lvl>
    <w:lvl w:ilvl="4" w:tplc="D35C03B0" w:tentative="1">
      <w:start w:val="1"/>
      <w:numFmt w:val="bullet"/>
      <w:lvlText w:val="o"/>
      <w:lvlJc w:val="left"/>
      <w:pPr>
        <w:tabs>
          <w:tab w:val="num" w:pos="3600"/>
        </w:tabs>
        <w:ind w:left="3600" w:hanging="360"/>
      </w:pPr>
      <w:rPr>
        <w:rFonts w:ascii="Courier New" w:hAnsi="Courier New" w:hint="default"/>
      </w:rPr>
    </w:lvl>
    <w:lvl w:ilvl="5" w:tplc="DF742050" w:tentative="1">
      <w:start w:val="1"/>
      <w:numFmt w:val="bullet"/>
      <w:lvlText w:val=""/>
      <w:lvlJc w:val="left"/>
      <w:pPr>
        <w:tabs>
          <w:tab w:val="num" w:pos="4320"/>
        </w:tabs>
        <w:ind w:left="4320" w:hanging="360"/>
      </w:pPr>
      <w:rPr>
        <w:rFonts w:ascii="Wingdings" w:hAnsi="Wingdings" w:hint="default"/>
      </w:rPr>
    </w:lvl>
    <w:lvl w:ilvl="6" w:tplc="DE68C416" w:tentative="1">
      <w:start w:val="1"/>
      <w:numFmt w:val="bullet"/>
      <w:lvlText w:val=""/>
      <w:lvlJc w:val="left"/>
      <w:pPr>
        <w:tabs>
          <w:tab w:val="num" w:pos="5040"/>
        </w:tabs>
        <w:ind w:left="5040" w:hanging="360"/>
      </w:pPr>
      <w:rPr>
        <w:rFonts w:ascii="Symbol" w:hAnsi="Symbol" w:hint="default"/>
      </w:rPr>
    </w:lvl>
    <w:lvl w:ilvl="7" w:tplc="F3F2416A" w:tentative="1">
      <w:start w:val="1"/>
      <w:numFmt w:val="bullet"/>
      <w:lvlText w:val="o"/>
      <w:lvlJc w:val="left"/>
      <w:pPr>
        <w:tabs>
          <w:tab w:val="num" w:pos="5760"/>
        </w:tabs>
        <w:ind w:left="5760" w:hanging="360"/>
      </w:pPr>
      <w:rPr>
        <w:rFonts w:ascii="Courier New" w:hAnsi="Courier New" w:hint="default"/>
      </w:rPr>
    </w:lvl>
    <w:lvl w:ilvl="8" w:tplc="DD768308" w:tentative="1">
      <w:start w:val="1"/>
      <w:numFmt w:val="bullet"/>
      <w:lvlText w:val=""/>
      <w:lvlJc w:val="left"/>
      <w:pPr>
        <w:tabs>
          <w:tab w:val="num" w:pos="6480"/>
        </w:tabs>
        <w:ind w:left="6480" w:hanging="360"/>
      </w:pPr>
      <w:rPr>
        <w:rFonts w:ascii="Wingdings" w:hAnsi="Wingdings" w:hint="default"/>
      </w:rPr>
    </w:lvl>
  </w:abstractNum>
  <w:abstractNum w:abstractNumId="18">
    <w:nsid w:val="1B670015"/>
    <w:multiLevelType w:val="multilevel"/>
    <w:tmpl w:val="33C0DCF0"/>
    <w:lvl w:ilvl="0">
      <w:start w:val="1"/>
      <w:numFmt w:val="decimal"/>
      <w:lvlText w:val="%1."/>
      <w:lvlJc w:val="left"/>
      <w:pPr>
        <w:tabs>
          <w:tab w:val="num" w:pos="720"/>
        </w:tabs>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1DE106AA"/>
    <w:multiLevelType w:val="hybridMultilevel"/>
    <w:tmpl w:val="B6BA9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17253A9"/>
    <w:multiLevelType w:val="hybridMultilevel"/>
    <w:tmpl w:val="74F45742"/>
    <w:lvl w:ilvl="0" w:tplc="A01E244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1EF0181"/>
    <w:multiLevelType w:val="hybridMultilevel"/>
    <w:tmpl w:val="DF16E73C"/>
    <w:lvl w:ilvl="0" w:tplc="98069ECA">
      <w:start w:val="1"/>
      <w:numFmt w:val="bullet"/>
      <w:lvlText w:val=""/>
      <w:lvlJc w:val="left"/>
      <w:pPr>
        <w:tabs>
          <w:tab w:val="num" w:pos="720"/>
        </w:tabs>
        <w:ind w:left="720" w:hanging="360"/>
      </w:pPr>
      <w:rPr>
        <w:rFonts w:ascii="Symbol" w:hAnsi="Symbol" w:hint="default"/>
      </w:rPr>
    </w:lvl>
    <w:lvl w:ilvl="1" w:tplc="3E745DD8" w:tentative="1">
      <w:start w:val="1"/>
      <w:numFmt w:val="bullet"/>
      <w:lvlText w:val="o"/>
      <w:lvlJc w:val="left"/>
      <w:pPr>
        <w:tabs>
          <w:tab w:val="num" w:pos="1440"/>
        </w:tabs>
        <w:ind w:left="1440" w:hanging="360"/>
      </w:pPr>
      <w:rPr>
        <w:rFonts w:ascii="Courier New" w:hAnsi="Courier New" w:hint="default"/>
      </w:rPr>
    </w:lvl>
    <w:lvl w:ilvl="2" w:tplc="B1047EF6" w:tentative="1">
      <w:start w:val="1"/>
      <w:numFmt w:val="bullet"/>
      <w:lvlText w:val=""/>
      <w:lvlJc w:val="left"/>
      <w:pPr>
        <w:tabs>
          <w:tab w:val="num" w:pos="2160"/>
        </w:tabs>
        <w:ind w:left="2160" w:hanging="360"/>
      </w:pPr>
      <w:rPr>
        <w:rFonts w:ascii="Wingdings" w:hAnsi="Wingdings" w:hint="default"/>
      </w:rPr>
    </w:lvl>
    <w:lvl w:ilvl="3" w:tplc="297E3A4C" w:tentative="1">
      <w:start w:val="1"/>
      <w:numFmt w:val="bullet"/>
      <w:lvlText w:val=""/>
      <w:lvlJc w:val="left"/>
      <w:pPr>
        <w:tabs>
          <w:tab w:val="num" w:pos="2880"/>
        </w:tabs>
        <w:ind w:left="2880" w:hanging="360"/>
      </w:pPr>
      <w:rPr>
        <w:rFonts w:ascii="Symbol" w:hAnsi="Symbol" w:hint="default"/>
      </w:rPr>
    </w:lvl>
    <w:lvl w:ilvl="4" w:tplc="DA963B70" w:tentative="1">
      <w:start w:val="1"/>
      <w:numFmt w:val="bullet"/>
      <w:lvlText w:val="o"/>
      <w:lvlJc w:val="left"/>
      <w:pPr>
        <w:tabs>
          <w:tab w:val="num" w:pos="3600"/>
        </w:tabs>
        <w:ind w:left="3600" w:hanging="360"/>
      </w:pPr>
      <w:rPr>
        <w:rFonts w:ascii="Courier New" w:hAnsi="Courier New" w:hint="default"/>
      </w:rPr>
    </w:lvl>
    <w:lvl w:ilvl="5" w:tplc="C56A2FBE" w:tentative="1">
      <w:start w:val="1"/>
      <w:numFmt w:val="bullet"/>
      <w:lvlText w:val=""/>
      <w:lvlJc w:val="left"/>
      <w:pPr>
        <w:tabs>
          <w:tab w:val="num" w:pos="4320"/>
        </w:tabs>
        <w:ind w:left="4320" w:hanging="360"/>
      </w:pPr>
      <w:rPr>
        <w:rFonts w:ascii="Wingdings" w:hAnsi="Wingdings" w:hint="default"/>
      </w:rPr>
    </w:lvl>
    <w:lvl w:ilvl="6" w:tplc="01F43232" w:tentative="1">
      <w:start w:val="1"/>
      <w:numFmt w:val="bullet"/>
      <w:lvlText w:val=""/>
      <w:lvlJc w:val="left"/>
      <w:pPr>
        <w:tabs>
          <w:tab w:val="num" w:pos="5040"/>
        </w:tabs>
        <w:ind w:left="5040" w:hanging="360"/>
      </w:pPr>
      <w:rPr>
        <w:rFonts w:ascii="Symbol" w:hAnsi="Symbol" w:hint="default"/>
      </w:rPr>
    </w:lvl>
    <w:lvl w:ilvl="7" w:tplc="1096BB3C" w:tentative="1">
      <w:start w:val="1"/>
      <w:numFmt w:val="bullet"/>
      <w:lvlText w:val="o"/>
      <w:lvlJc w:val="left"/>
      <w:pPr>
        <w:tabs>
          <w:tab w:val="num" w:pos="5760"/>
        </w:tabs>
        <w:ind w:left="5760" w:hanging="360"/>
      </w:pPr>
      <w:rPr>
        <w:rFonts w:ascii="Courier New" w:hAnsi="Courier New" w:hint="default"/>
      </w:rPr>
    </w:lvl>
    <w:lvl w:ilvl="8" w:tplc="A5867876" w:tentative="1">
      <w:start w:val="1"/>
      <w:numFmt w:val="bullet"/>
      <w:lvlText w:val=""/>
      <w:lvlJc w:val="left"/>
      <w:pPr>
        <w:tabs>
          <w:tab w:val="num" w:pos="6480"/>
        </w:tabs>
        <w:ind w:left="6480" w:hanging="360"/>
      </w:pPr>
      <w:rPr>
        <w:rFonts w:ascii="Wingdings" w:hAnsi="Wingdings" w:hint="default"/>
      </w:rPr>
    </w:lvl>
  </w:abstractNum>
  <w:abstractNum w:abstractNumId="22">
    <w:nsid w:val="22012A58"/>
    <w:multiLevelType w:val="hybridMultilevel"/>
    <w:tmpl w:val="35C63EA2"/>
    <w:lvl w:ilvl="0" w:tplc="08090001">
      <w:start w:val="1"/>
      <w:numFmt w:val="decimal"/>
      <w:lvlText w:val="%1."/>
      <w:lvlJc w:val="left"/>
      <w:pPr>
        <w:tabs>
          <w:tab w:val="num" w:pos="360"/>
        </w:tabs>
        <w:ind w:left="360" w:hanging="360"/>
      </w:pPr>
      <w:rPr>
        <w:rFonts w:cs="Times New Roman"/>
      </w:rPr>
    </w:lvl>
    <w:lvl w:ilvl="1" w:tplc="08090003" w:tentative="1">
      <w:start w:val="1"/>
      <w:numFmt w:val="lowerLetter"/>
      <w:lvlText w:val="%2."/>
      <w:lvlJc w:val="left"/>
      <w:pPr>
        <w:tabs>
          <w:tab w:val="num" w:pos="1080"/>
        </w:tabs>
        <w:ind w:left="1080" w:hanging="360"/>
      </w:pPr>
      <w:rPr>
        <w:rFonts w:cs="Times New Roman"/>
      </w:rPr>
    </w:lvl>
    <w:lvl w:ilvl="2" w:tplc="08090005" w:tentative="1">
      <w:start w:val="1"/>
      <w:numFmt w:val="lowerRoman"/>
      <w:lvlText w:val="%3."/>
      <w:lvlJc w:val="right"/>
      <w:pPr>
        <w:tabs>
          <w:tab w:val="num" w:pos="1800"/>
        </w:tabs>
        <w:ind w:left="1800" w:hanging="180"/>
      </w:pPr>
      <w:rPr>
        <w:rFonts w:cs="Times New Roman"/>
      </w:rPr>
    </w:lvl>
    <w:lvl w:ilvl="3" w:tplc="08090001" w:tentative="1">
      <w:start w:val="1"/>
      <w:numFmt w:val="decimal"/>
      <w:lvlText w:val="%4."/>
      <w:lvlJc w:val="left"/>
      <w:pPr>
        <w:tabs>
          <w:tab w:val="num" w:pos="2520"/>
        </w:tabs>
        <w:ind w:left="2520" w:hanging="360"/>
      </w:pPr>
      <w:rPr>
        <w:rFonts w:cs="Times New Roman"/>
      </w:rPr>
    </w:lvl>
    <w:lvl w:ilvl="4" w:tplc="08090003" w:tentative="1">
      <w:start w:val="1"/>
      <w:numFmt w:val="lowerLetter"/>
      <w:lvlText w:val="%5."/>
      <w:lvlJc w:val="left"/>
      <w:pPr>
        <w:tabs>
          <w:tab w:val="num" w:pos="3240"/>
        </w:tabs>
        <w:ind w:left="3240" w:hanging="360"/>
      </w:pPr>
      <w:rPr>
        <w:rFonts w:cs="Times New Roman"/>
      </w:rPr>
    </w:lvl>
    <w:lvl w:ilvl="5" w:tplc="08090005" w:tentative="1">
      <w:start w:val="1"/>
      <w:numFmt w:val="lowerRoman"/>
      <w:lvlText w:val="%6."/>
      <w:lvlJc w:val="right"/>
      <w:pPr>
        <w:tabs>
          <w:tab w:val="num" w:pos="3960"/>
        </w:tabs>
        <w:ind w:left="3960" w:hanging="180"/>
      </w:pPr>
      <w:rPr>
        <w:rFonts w:cs="Times New Roman"/>
      </w:rPr>
    </w:lvl>
    <w:lvl w:ilvl="6" w:tplc="08090001" w:tentative="1">
      <w:start w:val="1"/>
      <w:numFmt w:val="decimal"/>
      <w:lvlText w:val="%7."/>
      <w:lvlJc w:val="left"/>
      <w:pPr>
        <w:tabs>
          <w:tab w:val="num" w:pos="4680"/>
        </w:tabs>
        <w:ind w:left="4680" w:hanging="360"/>
      </w:pPr>
      <w:rPr>
        <w:rFonts w:cs="Times New Roman"/>
      </w:rPr>
    </w:lvl>
    <w:lvl w:ilvl="7" w:tplc="08090003" w:tentative="1">
      <w:start w:val="1"/>
      <w:numFmt w:val="lowerLetter"/>
      <w:lvlText w:val="%8."/>
      <w:lvlJc w:val="left"/>
      <w:pPr>
        <w:tabs>
          <w:tab w:val="num" w:pos="5400"/>
        </w:tabs>
        <w:ind w:left="5400" w:hanging="360"/>
      </w:pPr>
      <w:rPr>
        <w:rFonts w:cs="Times New Roman"/>
      </w:rPr>
    </w:lvl>
    <w:lvl w:ilvl="8" w:tplc="08090005" w:tentative="1">
      <w:start w:val="1"/>
      <w:numFmt w:val="lowerRoman"/>
      <w:lvlText w:val="%9."/>
      <w:lvlJc w:val="right"/>
      <w:pPr>
        <w:tabs>
          <w:tab w:val="num" w:pos="6120"/>
        </w:tabs>
        <w:ind w:left="6120" w:hanging="180"/>
      </w:pPr>
      <w:rPr>
        <w:rFonts w:cs="Times New Roman"/>
      </w:rPr>
    </w:lvl>
  </w:abstractNum>
  <w:abstractNum w:abstractNumId="23">
    <w:nsid w:val="2339766E"/>
    <w:multiLevelType w:val="multilevel"/>
    <w:tmpl w:val="3AAAFFCE"/>
    <w:lvl w:ilvl="0">
      <w:start w:val="4"/>
      <w:numFmt w:val="decimal"/>
      <w:lvlText w:val="%1"/>
      <w:lvlJc w:val="left"/>
      <w:pPr>
        <w:ind w:left="540" w:hanging="540"/>
      </w:pPr>
      <w:rPr>
        <w:rFonts w:hint="default"/>
      </w:rPr>
    </w:lvl>
    <w:lvl w:ilvl="1">
      <w:start w:val="3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1C020D"/>
    <w:multiLevelType w:val="hybridMultilevel"/>
    <w:tmpl w:val="BCD8202E"/>
    <w:lvl w:ilvl="0" w:tplc="317494E0">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5">
    <w:nsid w:val="263E55CC"/>
    <w:multiLevelType w:val="hybridMultilevel"/>
    <w:tmpl w:val="696E283E"/>
    <w:lvl w:ilvl="0" w:tplc="08090001">
      <w:start w:val="1"/>
      <w:numFmt w:val="bullet"/>
      <w:lvlText w:val=""/>
      <w:lvlJc w:val="left"/>
      <w:pPr>
        <w:tabs>
          <w:tab w:val="num" w:pos="360"/>
        </w:tabs>
        <w:ind w:left="36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264B52F7"/>
    <w:multiLevelType w:val="hybridMultilevel"/>
    <w:tmpl w:val="40601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7B75E95"/>
    <w:multiLevelType w:val="hybridMultilevel"/>
    <w:tmpl w:val="683C3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86D0833"/>
    <w:multiLevelType w:val="hybridMultilevel"/>
    <w:tmpl w:val="74F0909E"/>
    <w:lvl w:ilvl="0" w:tplc="C16E0976">
      <w:start w:val="1"/>
      <w:numFmt w:val="bullet"/>
      <w:lvlText w:val=""/>
      <w:lvlJc w:val="left"/>
      <w:pPr>
        <w:tabs>
          <w:tab w:val="num" w:pos="794"/>
        </w:tabs>
        <w:ind w:left="794" w:hanging="397"/>
      </w:pPr>
      <w:rPr>
        <w:rFonts w:ascii="Symbol" w:hAnsi="Symbol" w:hint="default"/>
      </w:rPr>
    </w:lvl>
    <w:lvl w:ilvl="1" w:tplc="019C276E">
      <w:start w:val="1"/>
      <w:numFmt w:val="bullet"/>
      <w:lvlText w:val=""/>
      <w:lvlJc w:val="left"/>
      <w:pPr>
        <w:tabs>
          <w:tab w:val="num" w:pos="1837"/>
        </w:tabs>
        <w:ind w:left="1837" w:hanging="360"/>
      </w:pPr>
      <w:rPr>
        <w:rFonts w:ascii="Symbol" w:hAnsi="Symbol"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start w:val="1"/>
      <w:numFmt w:val="bullet"/>
      <w:lvlText w:val="o"/>
      <w:lvlJc w:val="left"/>
      <w:pPr>
        <w:tabs>
          <w:tab w:val="num" w:pos="3997"/>
        </w:tabs>
        <w:ind w:left="3997" w:hanging="360"/>
      </w:pPr>
      <w:rPr>
        <w:rFonts w:ascii="Courier New" w:hAnsi="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29">
    <w:nsid w:val="2A541FF3"/>
    <w:multiLevelType w:val="hybridMultilevel"/>
    <w:tmpl w:val="BC84B2F2"/>
    <w:lvl w:ilvl="0" w:tplc="08090001">
      <w:start w:val="1"/>
      <w:numFmt w:val="decimal"/>
      <w:lvlText w:val="%1."/>
      <w:lvlJc w:val="left"/>
      <w:pPr>
        <w:tabs>
          <w:tab w:val="num" w:pos="1080"/>
        </w:tabs>
        <w:ind w:left="1080" w:hanging="360"/>
      </w:pPr>
      <w:rPr>
        <w:rFonts w:cs="Times New Roman" w:hint="default"/>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30">
    <w:nsid w:val="2B260930"/>
    <w:multiLevelType w:val="hybridMultilevel"/>
    <w:tmpl w:val="42506950"/>
    <w:lvl w:ilvl="0" w:tplc="08090001">
      <w:numFmt w:val="bullet"/>
      <w:lvlText w:val="-"/>
      <w:lvlJc w:val="left"/>
      <w:pPr>
        <w:tabs>
          <w:tab w:val="num" w:pos="720"/>
        </w:tabs>
        <w:ind w:left="72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2CAD1DDA"/>
    <w:multiLevelType w:val="hybridMultilevel"/>
    <w:tmpl w:val="2A6616B8"/>
    <w:lvl w:ilvl="0" w:tplc="1768708E">
      <w:start w:val="1"/>
      <w:numFmt w:val="decimal"/>
      <w:lvlText w:val="%1."/>
      <w:lvlJc w:val="left"/>
      <w:pPr>
        <w:tabs>
          <w:tab w:val="num" w:pos="720"/>
        </w:tabs>
        <w:ind w:left="720" w:hanging="360"/>
      </w:pPr>
    </w:lvl>
    <w:lvl w:ilvl="1" w:tplc="0809000F"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2">
    <w:nsid w:val="2CAF7E0C"/>
    <w:multiLevelType w:val="hybridMultilevel"/>
    <w:tmpl w:val="D2708FA0"/>
    <w:lvl w:ilvl="0" w:tplc="019C27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F3F52E0"/>
    <w:multiLevelType w:val="multilevel"/>
    <w:tmpl w:val="290AE1B4"/>
    <w:lvl w:ilvl="0">
      <w:start w:val="4"/>
      <w:numFmt w:val="decimal"/>
      <w:lvlText w:val="%1."/>
      <w:lvlJc w:val="left"/>
      <w:pPr>
        <w:ind w:left="435" w:hanging="435"/>
      </w:pPr>
      <w:rPr>
        <w:rFonts w:hint="default"/>
      </w:rPr>
    </w:lvl>
    <w:lvl w:ilvl="1">
      <w:start w:val="32"/>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302B15AB"/>
    <w:multiLevelType w:val="hybridMultilevel"/>
    <w:tmpl w:val="0192B328"/>
    <w:lvl w:ilvl="0" w:tplc="08090001">
      <w:start w:val="1"/>
      <w:numFmt w:val="decimal"/>
      <w:lvlText w:val="%1."/>
      <w:lvlJc w:val="left"/>
      <w:pPr>
        <w:tabs>
          <w:tab w:val="num" w:pos="720"/>
        </w:tabs>
        <w:ind w:left="720" w:hanging="360"/>
      </w:pPr>
      <w:rPr>
        <w:rFonts w:cs="Times New Roman" w:hint="default"/>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35">
    <w:nsid w:val="31444720"/>
    <w:multiLevelType w:val="hybridMultilevel"/>
    <w:tmpl w:val="BE623A4E"/>
    <w:lvl w:ilvl="0" w:tplc="0809000F">
      <w:start w:val="1"/>
      <w:numFmt w:val="bullet"/>
      <w:lvlText w:val=""/>
      <w:lvlJc w:val="left"/>
      <w:pPr>
        <w:tabs>
          <w:tab w:val="num" w:pos="284"/>
        </w:tabs>
        <w:ind w:left="284" w:hanging="171"/>
      </w:pPr>
      <w:rPr>
        <w:rFonts w:ascii="Symbol" w:hAnsi="Symbol" w:hint="default"/>
      </w:rPr>
    </w:lvl>
    <w:lvl w:ilvl="1" w:tplc="08090019" w:tentative="1">
      <w:start w:val="1"/>
      <w:numFmt w:val="bullet"/>
      <w:lvlText w:val="o"/>
      <w:lvlJc w:val="left"/>
      <w:pPr>
        <w:tabs>
          <w:tab w:val="num" w:pos="1553"/>
        </w:tabs>
        <w:ind w:left="1553" w:hanging="360"/>
      </w:pPr>
      <w:rPr>
        <w:rFonts w:ascii="Courier New" w:hAnsi="Courier New" w:hint="default"/>
      </w:rPr>
    </w:lvl>
    <w:lvl w:ilvl="2" w:tplc="0809001B" w:tentative="1">
      <w:start w:val="1"/>
      <w:numFmt w:val="bullet"/>
      <w:lvlText w:val=""/>
      <w:lvlJc w:val="left"/>
      <w:pPr>
        <w:tabs>
          <w:tab w:val="num" w:pos="2273"/>
        </w:tabs>
        <w:ind w:left="2273" w:hanging="360"/>
      </w:pPr>
      <w:rPr>
        <w:rFonts w:ascii="Wingdings" w:hAnsi="Wingdings" w:hint="default"/>
      </w:rPr>
    </w:lvl>
    <w:lvl w:ilvl="3" w:tplc="0809000F" w:tentative="1">
      <w:start w:val="1"/>
      <w:numFmt w:val="bullet"/>
      <w:lvlText w:val=""/>
      <w:lvlJc w:val="left"/>
      <w:pPr>
        <w:tabs>
          <w:tab w:val="num" w:pos="2993"/>
        </w:tabs>
        <w:ind w:left="2993" w:hanging="360"/>
      </w:pPr>
      <w:rPr>
        <w:rFonts w:ascii="Symbol" w:hAnsi="Symbol" w:hint="default"/>
      </w:rPr>
    </w:lvl>
    <w:lvl w:ilvl="4" w:tplc="08090019" w:tentative="1">
      <w:start w:val="1"/>
      <w:numFmt w:val="bullet"/>
      <w:lvlText w:val="o"/>
      <w:lvlJc w:val="left"/>
      <w:pPr>
        <w:tabs>
          <w:tab w:val="num" w:pos="3713"/>
        </w:tabs>
        <w:ind w:left="3713" w:hanging="360"/>
      </w:pPr>
      <w:rPr>
        <w:rFonts w:ascii="Courier New" w:hAnsi="Courier New" w:hint="default"/>
      </w:rPr>
    </w:lvl>
    <w:lvl w:ilvl="5" w:tplc="0809001B" w:tentative="1">
      <w:start w:val="1"/>
      <w:numFmt w:val="bullet"/>
      <w:lvlText w:val=""/>
      <w:lvlJc w:val="left"/>
      <w:pPr>
        <w:tabs>
          <w:tab w:val="num" w:pos="4433"/>
        </w:tabs>
        <w:ind w:left="4433" w:hanging="360"/>
      </w:pPr>
      <w:rPr>
        <w:rFonts w:ascii="Wingdings" w:hAnsi="Wingdings" w:hint="default"/>
      </w:rPr>
    </w:lvl>
    <w:lvl w:ilvl="6" w:tplc="0809000F" w:tentative="1">
      <w:start w:val="1"/>
      <w:numFmt w:val="bullet"/>
      <w:lvlText w:val=""/>
      <w:lvlJc w:val="left"/>
      <w:pPr>
        <w:tabs>
          <w:tab w:val="num" w:pos="5153"/>
        </w:tabs>
        <w:ind w:left="5153" w:hanging="360"/>
      </w:pPr>
      <w:rPr>
        <w:rFonts w:ascii="Symbol" w:hAnsi="Symbol" w:hint="default"/>
      </w:rPr>
    </w:lvl>
    <w:lvl w:ilvl="7" w:tplc="08090019" w:tentative="1">
      <w:start w:val="1"/>
      <w:numFmt w:val="bullet"/>
      <w:lvlText w:val="o"/>
      <w:lvlJc w:val="left"/>
      <w:pPr>
        <w:tabs>
          <w:tab w:val="num" w:pos="5873"/>
        </w:tabs>
        <w:ind w:left="5873" w:hanging="360"/>
      </w:pPr>
      <w:rPr>
        <w:rFonts w:ascii="Courier New" w:hAnsi="Courier New" w:hint="default"/>
      </w:rPr>
    </w:lvl>
    <w:lvl w:ilvl="8" w:tplc="0809001B" w:tentative="1">
      <w:start w:val="1"/>
      <w:numFmt w:val="bullet"/>
      <w:lvlText w:val=""/>
      <w:lvlJc w:val="left"/>
      <w:pPr>
        <w:tabs>
          <w:tab w:val="num" w:pos="6593"/>
        </w:tabs>
        <w:ind w:left="6593" w:hanging="360"/>
      </w:pPr>
      <w:rPr>
        <w:rFonts w:ascii="Wingdings" w:hAnsi="Wingdings" w:hint="default"/>
      </w:rPr>
    </w:lvl>
  </w:abstractNum>
  <w:abstractNum w:abstractNumId="36">
    <w:nsid w:val="32BF0FCB"/>
    <w:multiLevelType w:val="multilevel"/>
    <w:tmpl w:val="727A576C"/>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2E071A6"/>
    <w:multiLevelType w:val="hybridMultilevel"/>
    <w:tmpl w:val="3376C322"/>
    <w:lvl w:ilvl="0" w:tplc="7D105852">
      <w:start w:val="1"/>
      <w:numFmt w:val="bullet"/>
      <w:pStyle w:val="Bullets"/>
      <w:lvlText w:val=""/>
      <w:lvlJc w:val="left"/>
      <w:pPr>
        <w:tabs>
          <w:tab w:val="num" w:pos="397"/>
        </w:tabs>
        <w:ind w:left="397" w:hanging="397"/>
      </w:pPr>
      <w:rPr>
        <w:rFonts w:ascii="Symbol" w:hAnsi="Symbol" w:hint="default"/>
        <w:color w:val="auto"/>
        <w:sz w:val="20"/>
        <w:szCs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34A13DE0"/>
    <w:multiLevelType w:val="hybridMultilevel"/>
    <w:tmpl w:val="D9CE64D4"/>
    <w:lvl w:ilvl="0" w:tplc="EEE0A2F6">
      <w:numFmt w:val="bullet"/>
      <w:lvlText w:val="-"/>
      <w:lvlJc w:val="left"/>
      <w:pPr>
        <w:tabs>
          <w:tab w:val="num" w:pos="360"/>
        </w:tabs>
        <w:ind w:left="360" w:hanging="360"/>
      </w:pPr>
      <w:rPr>
        <w:rFonts w:ascii="Arial" w:eastAsia="Times New Roman" w:hAnsi="Arial"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9">
    <w:nsid w:val="358E5137"/>
    <w:multiLevelType w:val="hybridMultilevel"/>
    <w:tmpl w:val="D0C49102"/>
    <w:lvl w:ilvl="0" w:tplc="35F08C4C">
      <w:numFmt w:val="bullet"/>
      <w:lvlText w:val="-"/>
      <w:lvlJc w:val="left"/>
      <w:pPr>
        <w:tabs>
          <w:tab w:val="num" w:pos="720"/>
        </w:tabs>
        <w:ind w:left="72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39104841"/>
    <w:multiLevelType w:val="hybridMultilevel"/>
    <w:tmpl w:val="AF90C95E"/>
    <w:lvl w:ilvl="0" w:tplc="6734C13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9B75254"/>
    <w:multiLevelType w:val="hybridMultilevel"/>
    <w:tmpl w:val="40A41FC4"/>
    <w:lvl w:ilvl="0" w:tplc="0809000F">
      <w:start w:val="1"/>
      <w:numFmt w:val="bullet"/>
      <w:lvlText w:val=""/>
      <w:lvlJc w:val="left"/>
      <w:pPr>
        <w:tabs>
          <w:tab w:val="num" w:pos="284"/>
        </w:tabs>
        <w:ind w:left="284" w:hanging="171"/>
      </w:pPr>
      <w:rPr>
        <w:rFonts w:ascii="Symbol" w:hAnsi="Symbol" w:hint="default"/>
      </w:rPr>
    </w:lvl>
    <w:lvl w:ilvl="1" w:tplc="08090019">
      <w:start w:val="1"/>
      <w:numFmt w:val="bullet"/>
      <w:lvlText w:val="-"/>
      <w:lvlJc w:val="left"/>
      <w:pPr>
        <w:tabs>
          <w:tab w:val="num" w:pos="1505"/>
        </w:tabs>
        <w:ind w:left="1505" w:hanging="1221"/>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2">
    <w:nsid w:val="3CF136C1"/>
    <w:multiLevelType w:val="hybridMultilevel"/>
    <w:tmpl w:val="9484FCBE"/>
    <w:lvl w:ilvl="0" w:tplc="C16E0976">
      <w:start w:val="1"/>
      <w:numFmt w:val="bullet"/>
      <w:lvlText w:val=""/>
      <w:lvlJc w:val="left"/>
      <w:pPr>
        <w:tabs>
          <w:tab w:val="num" w:pos="284"/>
        </w:tabs>
        <w:ind w:left="284" w:hanging="171"/>
      </w:pPr>
      <w:rPr>
        <w:rFonts w:ascii="Symbol" w:hAnsi="Symbol" w:hint="default"/>
      </w:rPr>
    </w:lvl>
    <w:lvl w:ilvl="1" w:tplc="08090003" w:tentative="1">
      <w:start w:val="1"/>
      <w:numFmt w:val="bullet"/>
      <w:lvlText w:val="o"/>
      <w:lvlJc w:val="left"/>
      <w:pPr>
        <w:tabs>
          <w:tab w:val="num" w:pos="1553"/>
        </w:tabs>
        <w:ind w:left="1553" w:hanging="360"/>
      </w:pPr>
      <w:rPr>
        <w:rFonts w:ascii="Courier New" w:hAnsi="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43">
    <w:nsid w:val="3D564B0A"/>
    <w:multiLevelType w:val="hybridMultilevel"/>
    <w:tmpl w:val="EAE26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F69587E"/>
    <w:multiLevelType w:val="hybridMultilevel"/>
    <w:tmpl w:val="30AE0B6A"/>
    <w:lvl w:ilvl="0" w:tplc="6F244A32">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5">
    <w:nsid w:val="41D078FC"/>
    <w:multiLevelType w:val="hybridMultilevel"/>
    <w:tmpl w:val="703AE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1D60118"/>
    <w:multiLevelType w:val="hybridMultilevel"/>
    <w:tmpl w:val="FA4E40BC"/>
    <w:lvl w:ilvl="0" w:tplc="FACC2CC2">
      <w:start w:val="1"/>
      <w:numFmt w:val="decimal"/>
      <w:lvlText w:val="%1."/>
      <w:lvlJc w:val="left"/>
      <w:pPr>
        <w:tabs>
          <w:tab w:val="num" w:pos="720"/>
        </w:tabs>
        <w:ind w:left="720" w:hanging="360"/>
      </w:pPr>
      <w:rPr>
        <w:b w:val="0"/>
      </w:rPr>
    </w:lvl>
    <w:lvl w:ilvl="1" w:tplc="C2FCD4BA">
      <w:start w:val="7"/>
      <w:numFmt w:val="bullet"/>
      <w:lvlText w:val="-"/>
      <w:lvlJc w:val="left"/>
      <w:pPr>
        <w:tabs>
          <w:tab w:val="num" w:pos="1440"/>
        </w:tabs>
        <w:ind w:left="1440" w:hanging="36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42075B7F"/>
    <w:multiLevelType w:val="multilevel"/>
    <w:tmpl w:val="BF00FEAA"/>
    <w:lvl w:ilvl="0">
      <w:start w:val="1"/>
      <w:numFmt w:val="decimal"/>
      <w:lvlText w:val="%1."/>
      <w:lvlJc w:val="left"/>
      <w:pPr>
        <w:tabs>
          <w:tab w:val="num" w:pos="2421"/>
        </w:tabs>
        <w:ind w:left="2421" w:hanging="360"/>
      </w:pPr>
      <w:rPr>
        <w:rFonts w:hint="default"/>
      </w:rPr>
    </w:lvl>
    <w:lvl w:ilvl="1">
      <w:start w:val="36"/>
      <w:numFmt w:val="decimal"/>
      <w:isLgl/>
      <w:lvlText w:val="%1.%2"/>
      <w:lvlJc w:val="left"/>
      <w:pPr>
        <w:ind w:left="2766" w:hanging="705"/>
      </w:pPr>
      <w:rPr>
        <w:rFonts w:hint="default"/>
      </w:rPr>
    </w:lvl>
    <w:lvl w:ilvl="2">
      <w:start w:val="5"/>
      <w:numFmt w:val="decimal"/>
      <w:isLgl/>
      <w:lvlText w:val="%1.%2.%3"/>
      <w:lvlJc w:val="left"/>
      <w:pPr>
        <w:ind w:left="2781" w:hanging="720"/>
      </w:pPr>
      <w:rPr>
        <w:rFonts w:hint="default"/>
      </w:rPr>
    </w:lvl>
    <w:lvl w:ilvl="3">
      <w:start w:val="3"/>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48">
    <w:nsid w:val="424C1F04"/>
    <w:multiLevelType w:val="hybridMultilevel"/>
    <w:tmpl w:val="1500EB88"/>
    <w:lvl w:ilvl="0" w:tplc="389AD392">
      <w:start w:val="1"/>
      <w:numFmt w:val="bullet"/>
      <w:lvlText w:val=""/>
      <w:lvlJc w:val="left"/>
      <w:pPr>
        <w:tabs>
          <w:tab w:val="num" w:pos="284"/>
        </w:tabs>
        <w:ind w:left="284" w:hanging="171"/>
      </w:pPr>
      <w:rPr>
        <w:rFonts w:ascii="Symbol" w:hAnsi="Symbol" w:hint="default"/>
      </w:rPr>
    </w:lvl>
    <w:lvl w:ilvl="1" w:tplc="41E0A668"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42630CF7"/>
    <w:multiLevelType w:val="hybridMultilevel"/>
    <w:tmpl w:val="46BCE6CA"/>
    <w:lvl w:ilvl="0" w:tplc="59882F26">
      <w:start w:val="1"/>
      <w:numFmt w:val="decimal"/>
      <w:lvlText w:val="%1."/>
      <w:lvlJc w:val="left"/>
      <w:pPr>
        <w:ind w:left="1080" w:hanging="360"/>
      </w:pPr>
      <w:rPr>
        <w:rFonts w:hint="default"/>
        <w:b w:val="0"/>
        <w:i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428227D7"/>
    <w:multiLevelType w:val="hybridMultilevel"/>
    <w:tmpl w:val="47642180"/>
    <w:lvl w:ilvl="0" w:tplc="86666542">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51">
    <w:nsid w:val="43346FB6"/>
    <w:multiLevelType w:val="hybridMultilevel"/>
    <w:tmpl w:val="C91247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
      <w:lvlJc w:val="left"/>
      <w:pPr>
        <w:tabs>
          <w:tab w:val="num" w:pos="3600"/>
        </w:tabs>
        <w:ind w:left="3600" w:hanging="360"/>
      </w:pPr>
      <w:rPr>
        <w:rFonts w:ascii="Symbol" w:hAnsi="Symbol" w:hint="default"/>
      </w:rPr>
    </w:lvl>
    <w:lvl w:ilvl="5" w:tplc="08090005" w:tentative="1">
      <w:start w:val="1"/>
      <w:numFmt w:val="bullet"/>
      <w:lvlText w:val=""/>
      <w:lvlJc w:val="left"/>
      <w:pPr>
        <w:tabs>
          <w:tab w:val="num" w:pos="4320"/>
        </w:tabs>
        <w:ind w:left="4320" w:hanging="360"/>
      </w:pPr>
      <w:rPr>
        <w:rFonts w:ascii="Symbol" w:hAnsi="Symbol"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
      <w:lvlJc w:val="left"/>
      <w:pPr>
        <w:tabs>
          <w:tab w:val="num" w:pos="5760"/>
        </w:tabs>
        <w:ind w:left="5760" w:hanging="360"/>
      </w:pPr>
      <w:rPr>
        <w:rFonts w:ascii="Symbol" w:hAnsi="Symbol" w:hint="default"/>
      </w:rPr>
    </w:lvl>
    <w:lvl w:ilvl="8" w:tplc="08090005" w:tentative="1">
      <w:start w:val="1"/>
      <w:numFmt w:val="bullet"/>
      <w:lvlText w:val=""/>
      <w:lvlJc w:val="left"/>
      <w:pPr>
        <w:tabs>
          <w:tab w:val="num" w:pos="6480"/>
        </w:tabs>
        <w:ind w:left="6480" w:hanging="360"/>
      </w:pPr>
      <w:rPr>
        <w:rFonts w:ascii="Symbol" w:hAnsi="Symbol" w:hint="default"/>
      </w:rPr>
    </w:lvl>
  </w:abstractNum>
  <w:abstractNum w:abstractNumId="52">
    <w:nsid w:val="44302FC2"/>
    <w:multiLevelType w:val="hybridMultilevel"/>
    <w:tmpl w:val="D0D40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462D5EFC"/>
    <w:multiLevelType w:val="hybridMultilevel"/>
    <w:tmpl w:val="72F48ACE"/>
    <w:lvl w:ilvl="0" w:tplc="EEE0A2F6">
      <w:numFmt w:val="bullet"/>
      <w:lvlText w:val="-"/>
      <w:lvlJc w:val="left"/>
      <w:pPr>
        <w:tabs>
          <w:tab w:val="num" w:pos="720"/>
        </w:tabs>
        <w:ind w:left="720" w:hanging="360"/>
      </w:pPr>
      <w:rPr>
        <w:rFonts w:ascii="Arial" w:eastAsia="Times New Roman" w:hAnsi="Aria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4">
    <w:nsid w:val="469517B4"/>
    <w:multiLevelType w:val="hybridMultilevel"/>
    <w:tmpl w:val="30DA83B4"/>
    <w:lvl w:ilvl="0" w:tplc="B69C00B6">
      <w:start w:val="1"/>
      <w:numFmt w:val="bullet"/>
      <w:lvlText w:val=""/>
      <w:lvlJc w:val="left"/>
      <w:pPr>
        <w:tabs>
          <w:tab w:val="num" w:pos="720"/>
        </w:tabs>
        <w:ind w:left="720" w:hanging="360"/>
      </w:pPr>
      <w:rPr>
        <w:rFonts w:ascii="Symbol" w:hAnsi="Symbol" w:hint="default"/>
      </w:rPr>
    </w:lvl>
    <w:lvl w:ilvl="1" w:tplc="08090003" w:tentative="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
      <w:lvlJc w:val="left"/>
      <w:pPr>
        <w:tabs>
          <w:tab w:val="num" w:pos="3600"/>
        </w:tabs>
        <w:ind w:left="3600" w:hanging="360"/>
      </w:pPr>
      <w:rPr>
        <w:rFonts w:ascii="Symbol" w:hAnsi="Symbol" w:hint="default"/>
      </w:rPr>
    </w:lvl>
    <w:lvl w:ilvl="5" w:tplc="08090005" w:tentative="1">
      <w:start w:val="1"/>
      <w:numFmt w:val="bullet"/>
      <w:lvlText w:val=""/>
      <w:lvlJc w:val="left"/>
      <w:pPr>
        <w:tabs>
          <w:tab w:val="num" w:pos="4320"/>
        </w:tabs>
        <w:ind w:left="4320" w:hanging="360"/>
      </w:pPr>
      <w:rPr>
        <w:rFonts w:ascii="Symbol" w:hAnsi="Symbol"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
      <w:lvlJc w:val="left"/>
      <w:pPr>
        <w:tabs>
          <w:tab w:val="num" w:pos="5760"/>
        </w:tabs>
        <w:ind w:left="5760" w:hanging="360"/>
      </w:pPr>
      <w:rPr>
        <w:rFonts w:ascii="Symbol" w:hAnsi="Symbol" w:hint="default"/>
      </w:rPr>
    </w:lvl>
    <w:lvl w:ilvl="8" w:tplc="08090005" w:tentative="1">
      <w:start w:val="1"/>
      <w:numFmt w:val="bullet"/>
      <w:lvlText w:val=""/>
      <w:lvlJc w:val="left"/>
      <w:pPr>
        <w:tabs>
          <w:tab w:val="num" w:pos="6480"/>
        </w:tabs>
        <w:ind w:left="6480" w:hanging="360"/>
      </w:pPr>
      <w:rPr>
        <w:rFonts w:ascii="Symbol" w:hAnsi="Symbol" w:hint="default"/>
      </w:rPr>
    </w:lvl>
  </w:abstractNum>
  <w:abstractNum w:abstractNumId="55">
    <w:nsid w:val="46F02F79"/>
    <w:multiLevelType w:val="hybridMultilevel"/>
    <w:tmpl w:val="F91EB018"/>
    <w:lvl w:ilvl="0" w:tplc="08090001">
      <w:numFmt w:val="bullet"/>
      <w:lvlText w:val="-"/>
      <w:lvlJc w:val="left"/>
      <w:pPr>
        <w:tabs>
          <w:tab w:val="num" w:pos="720"/>
        </w:tabs>
        <w:ind w:left="72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48133699"/>
    <w:multiLevelType w:val="hybridMultilevel"/>
    <w:tmpl w:val="8F1EF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8C74C78"/>
    <w:multiLevelType w:val="multilevel"/>
    <w:tmpl w:val="441C4244"/>
    <w:lvl w:ilvl="0">
      <w:start w:val="1"/>
      <w:numFmt w:val="decimal"/>
      <w:lvlText w:val="%1."/>
      <w:lvlJc w:val="left"/>
      <w:pPr>
        <w:tabs>
          <w:tab w:val="num" w:pos="1080"/>
        </w:tabs>
        <w:ind w:left="108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nsid w:val="4A3354D2"/>
    <w:multiLevelType w:val="hybridMultilevel"/>
    <w:tmpl w:val="AE1E68C6"/>
    <w:lvl w:ilvl="0" w:tplc="C16E0976">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59">
    <w:nsid w:val="4AD92EFC"/>
    <w:multiLevelType w:val="hybridMultilevel"/>
    <w:tmpl w:val="767C01EE"/>
    <w:lvl w:ilvl="0" w:tplc="FD08D956">
      <w:start w:val="1"/>
      <w:numFmt w:val="decimal"/>
      <w:lvlText w:val="%1."/>
      <w:lvlJc w:val="left"/>
      <w:pPr>
        <w:tabs>
          <w:tab w:val="num" w:pos="1080"/>
        </w:tabs>
        <w:ind w:left="1080" w:hanging="360"/>
      </w:pPr>
      <w:rPr>
        <w:rFonts w:cs="Times New Roman" w:hint="default"/>
      </w:rPr>
    </w:lvl>
    <w:lvl w:ilvl="1" w:tplc="62F8244A" w:tentative="1">
      <w:start w:val="1"/>
      <w:numFmt w:val="lowerLetter"/>
      <w:lvlText w:val="%2."/>
      <w:lvlJc w:val="left"/>
      <w:pPr>
        <w:tabs>
          <w:tab w:val="num" w:pos="1440"/>
        </w:tabs>
        <w:ind w:left="1440" w:hanging="360"/>
      </w:pPr>
      <w:rPr>
        <w:rFonts w:cs="Times New Roman"/>
      </w:rPr>
    </w:lvl>
    <w:lvl w:ilvl="2" w:tplc="9B242E98" w:tentative="1">
      <w:start w:val="1"/>
      <w:numFmt w:val="lowerRoman"/>
      <w:lvlText w:val="%3."/>
      <w:lvlJc w:val="right"/>
      <w:pPr>
        <w:tabs>
          <w:tab w:val="num" w:pos="2160"/>
        </w:tabs>
        <w:ind w:left="2160" w:hanging="180"/>
      </w:pPr>
      <w:rPr>
        <w:rFonts w:cs="Times New Roman"/>
      </w:rPr>
    </w:lvl>
    <w:lvl w:ilvl="3" w:tplc="E46450B0" w:tentative="1">
      <w:start w:val="1"/>
      <w:numFmt w:val="decimal"/>
      <w:lvlText w:val="%4."/>
      <w:lvlJc w:val="left"/>
      <w:pPr>
        <w:tabs>
          <w:tab w:val="num" w:pos="2880"/>
        </w:tabs>
        <w:ind w:left="2880" w:hanging="360"/>
      </w:pPr>
      <w:rPr>
        <w:rFonts w:cs="Times New Roman"/>
      </w:rPr>
    </w:lvl>
    <w:lvl w:ilvl="4" w:tplc="D35AE0AE" w:tentative="1">
      <w:start w:val="1"/>
      <w:numFmt w:val="lowerLetter"/>
      <w:lvlText w:val="%5."/>
      <w:lvlJc w:val="left"/>
      <w:pPr>
        <w:tabs>
          <w:tab w:val="num" w:pos="3600"/>
        </w:tabs>
        <w:ind w:left="3600" w:hanging="360"/>
      </w:pPr>
      <w:rPr>
        <w:rFonts w:cs="Times New Roman"/>
      </w:rPr>
    </w:lvl>
    <w:lvl w:ilvl="5" w:tplc="FA4CD3CC" w:tentative="1">
      <w:start w:val="1"/>
      <w:numFmt w:val="lowerRoman"/>
      <w:lvlText w:val="%6."/>
      <w:lvlJc w:val="right"/>
      <w:pPr>
        <w:tabs>
          <w:tab w:val="num" w:pos="4320"/>
        </w:tabs>
        <w:ind w:left="4320" w:hanging="180"/>
      </w:pPr>
      <w:rPr>
        <w:rFonts w:cs="Times New Roman"/>
      </w:rPr>
    </w:lvl>
    <w:lvl w:ilvl="6" w:tplc="EA44FB46" w:tentative="1">
      <w:start w:val="1"/>
      <w:numFmt w:val="decimal"/>
      <w:lvlText w:val="%7."/>
      <w:lvlJc w:val="left"/>
      <w:pPr>
        <w:tabs>
          <w:tab w:val="num" w:pos="5040"/>
        </w:tabs>
        <w:ind w:left="5040" w:hanging="360"/>
      </w:pPr>
      <w:rPr>
        <w:rFonts w:cs="Times New Roman"/>
      </w:rPr>
    </w:lvl>
    <w:lvl w:ilvl="7" w:tplc="3BF696E8" w:tentative="1">
      <w:start w:val="1"/>
      <w:numFmt w:val="lowerLetter"/>
      <w:lvlText w:val="%8."/>
      <w:lvlJc w:val="left"/>
      <w:pPr>
        <w:tabs>
          <w:tab w:val="num" w:pos="5760"/>
        </w:tabs>
        <w:ind w:left="5760" w:hanging="360"/>
      </w:pPr>
      <w:rPr>
        <w:rFonts w:cs="Times New Roman"/>
      </w:rPr>
    </w:lvl>
    <w:lvl w:ilvl="8" w:tplc="D3480FEA" w:tentative="1">
      <w:start w:val="1"/>
      <w:numFmt w:val="lowerRoman"/>
      <w:lvlText w:val="%9."/>
      <w:lvlJc w:val="right"/>
      <w:pPr>
        <w:tabs>
          <w:tab w:val="num" w:pos="6480"/>
        </w:tabs>
        <w:ind w:left="6480" w:hanging="180"/>
      </w:pPr>
      <w:rPr>
        <w:rFonts w:cs="Times New Roman"/>
      </w:rPr>
    </w:lvl>
  </w:abstractNum>
  <w:abstractNum w:abstractNumId="60">
    <w:nsid w:val="4C151177"/>
    <w:multiLevelType w:val="hybridMultilevel"/>
    <w:tmpl w:val="46F0B4F6"/>
    <w:lvl w:ilvl="0" w:tplc="08090001">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nsid w:val="4CDE256D"/>
    <w:multiLevelType w:val="multilevel"/>
    <w:tmpl w:val="2E98C29C"/>
    <w:lvl w:ilvl="0">
      <w:start w:val="1"/>
      <w:numFmt w:val="decimal"/>
      <w:lvlText w:val="%1."/>
      <w:lvlJc w:val="left"/>
      <w:pPr>
        <w:tabs>
          <w:tab w:val="num" w:pos="1080"/>
        </w:tabs>
        <w:ind w:left="1080" w:hanging="360"/>
      </w:pPr>
      <w:rPr>
        <w:rFonts w:cs="Times New Roman" w:hint="default"/>
      </w:rPr>
    </w:lvl>
    <w:lvl w:ilvl="1">
      <w:start w:val="29"/>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2">
    <w:nsid w:val="4D1E3376"/>
    <w:multiLevelType w:val="hybridMultilevel"/>
    <w:tmpl w:val="DF44DE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4DE74E63"/>
    <w:multiLevelType w:val="hybridMultilevel"/>
    <w:tmpl w:val="00CA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F6B77A6"/>
    <w:multiLevelType w:val="hybridMultilevel"/>
    <w:tmpl w:val="C30C3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07856EA"/>
    <w:multiLevelType w:val="hybridMultilevel"/>
    <w:tmpl w:val="B0F29F6C"/>
    <w:lvl w:ilvl="0" w:tplc="68B8DB5C">
      <w:start w:val="1"/>
      <w:numFmt w:val="decimal"/>
      <w:lvlText w:val="%1."/>
      <w:lvlJc w:val="left"/>
      <w:pPr>
        <w:tabs>
          <w:tab w:val="num" w:pos="1080"/>
        </w:tabs>
        <w:ind w:left="1080" w:hanging="360"/>
      </w:pPr>
      <w:rPr>
        <w:rFonts w:cs="Times New Roman" w:hint="default"/>
      </w:rPr>
    </w:lvl>
    <w:lvl w:ilvl="1" w:tplc="DFA8DD98">
      <w:start w:val="1"/>
      <w:numFmt w:val="decimal"/>
      <w:lvlText w:val="%2."/>
      <w:lvlJc w:val="left"/>
      <w:pPr>
        <w:tabs>
          <w:tab w:val="num" w:pos="1800"/>
        </w:tabs>
        <w:ind w:left="1080"/>
      </w:pPr>
      <w:rPr>
        <w:rFonts w:cs="Times New Roman" w:hint="default"/>
      </w:rPr>
    </w:lvl>
    <w:lvl w:ilvl="2" w:tplc="B6A8EBE4" w:tentative="1">
      <w:start w:val="1"/>
      <w:numFmt w:val="lowerRoman"/>
      <w:lvlText w:val="%3."/>
      <w:lvlJc w:val="right"/>
      <w:pPr>
        <w:tabs>
          <w:tab w:val="num" w:pos="2160"/>
        </w:tabs>
        <w:ind w:left="2160" w:hanging="180"/>
      </w:pPr>
      <w:rPr>
        <w:rFonts w:cs="Times New Roman"/>
      </w:rPr>
    </w:lvl>
    <w:lvl w:ilvl="3" w:tplc="163A075A" w:tentative="1">
      <w:start w:val="1"/>
      <w:numFmt w:val="decimal"/>
      <w:lvlText w:val="%4."/>
      <w:lvlJc w:val="left"/>
      <w:pPr>
        <w:tabs>
          <w:tab w:val="num" w:pos="2880"/>
        </w:tabs>
        <w:ind w:left="2880" w:hanging="360"/>
      </w:pPr>
      <w:rPr>
        <w:rFonts w:cs="Times New Roman"/>
      </w:rPr>
    </w:lvl>
    <w:lvl w:ilvl="4" w:tplc="6DC245A4" w:tentative="1">
      <w:start w:val="1"/>
      <w:numFmt w:val="lowerLetter"/>
      <w:lvlText w:val="%5."/>
      <w:lvlJc w:val="left"/>
      <w:pPr>
        <w:tabs>
          <w:tab w:val="num" w:pos="3600"/>
        </w:tabs>
        <w:ind w:left="3600" w:hanging="360"/>
      </w:pPr>
      <w:rPr>
        <w:rFonts w:cs="Times New Roman"/>
      </w:rPr>
    </w:lvl>
    <w:lvl w:ilvl="5" w:tplc="2F30C0A2" w:tentative="1">
      <w:start w:val="1"/>
      <w:numFmt w:val="lowerRoman"/>
      <w:lvlText w:val="%6."/>
      <w:lvlJc w:val="right"/>
      <w:pPr>
        <w:tabs>
          <w:tab w:val="num" w:pos="4320"/>
        </w:tabs>
        <w:ind w:left="4320" w:hanging="180"/>
      </w:pPr>
      <w:rPr>
        <w:rFonts w:cs="Times New Roman"/>
      </w:rPr>
    </w:lvl>
    <w:lvl w:ilvl="6" w:tplc="A2309E04" w:tentative="1">
      <w:start w:val="1"/>
      <w:numFmt w:val="decimal"/>
      <w:lvlText w:val="%7."/>
      <w:lvlJc w:val="left"/>
      <w:pPr>
        <w:tabs>
          <w:tab w:val="num" w:pos="5040"/>
        </w:tabs>
        <w:ind w:left="5040" w:hanging="360"/>
      </w:pPr>
      <w:rPr>
        <w:rFonts w:cs="Times New Roman"/>
      </w:rPr>
    </w:lvl>
    <w:lvl w:ilvl="7" w:tplc="92649604" w:tentative="1">
      <w:start w:val="1"/>
      <w:numFmt w:val="lowerLetter"/>
      <w:lvlText w:val="%8."/>
      <w:lvlJc w:val="left"/>
      <w:pPr>
        <w:tabs>
          <w:tab w:val="num" w:pos="5760"/>
        </w:tabs>
        <w:ind w:left="5760" w:hanging="360"/>
      </w:pPr>
      <w:rPr>
        <w:rFonts w:cs="Times New Roman"/>
      </w:rPr>
    </w:lvl>
    <w:lvl w:ilvl="8" w:tplc="BE5672C4" w:tentative="1">
      <w:start w:val="1"/>
      <w:numFmt w:val="lowerRoman"/>
      <w:lvlText w:val="%9."/>
      <w:lvlJc w:val="right"/>
      <w:pPr>
        <w:tabs>
          <w:tab w:val="num" w:pos="6480"/>
        </w:tabs>
        <w:ind w:left="6480" w:hanging="180"/>
      </w:pPr>
      <w:rPr>
        <w:rFonts w:cs="Times New Roman"/>
      </w:rPr>
    </w:lvl>
  </w:abstractNum>
  <w:abstractNum w:abstractNumId="66">
    <w:nsid w:val="50C43F63"/>
    <w:multiLevelType w:val="hybridMultilevel"/>
    <w:tmpl w:val="7D50CCEC"/>
    <w:lvl w:ilvl="0" w:tplc="DF78B074">
      <w:start w:val="1"/>
      <w:numFmt w:val="bullet"/>
      <w:lvlText w:val=""/>
      <w:lvlJc w:val="left"/>
      <w:pPr>
        <w:tabs>
          <w:tab w:val="num" w:pos="720"/>
        </w:tabs>
        <w:ind w:left="720" w:hanging="360"/>
      </w:pPr>
      <w:rPr>
        <w:rFonts w:ascii="Symbol" w:hAnsi="Symbol" w:hint="default"/>
        <w:sz w:val="20"/>
        <w:szCs w:val="20"/>
      </w:rPr>
    </w:lvl>
    <w:lvl w:ilvl="1" w:tplc="08090001">
      <w:start w:val="1"/>
      <w:numFmt w:val="bullet"/>
      <w:lvlText w:val=""/>
      <w:lvlJc w:val="left"/>
      <w:pPr>
        <w:tabs>
          <w:tab w:val="num" w:pos="720"/>
        </w:tabs>
        <w:ind w:left="72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51B66A2E"/>
    <w:multiLevelType w:val="hybridMultilevel"/>
    <w:tmpl w:val="77905CDE"/>
    <w:lvl w:ilvl="0" w:tplc="08090001">
      <w:start w:val="1"/>
      <w:numFmt w:val="bullet"/>
      <w:lvlText w:val=""/>
      <w:lvlJc w:val="left"/>
      <w:pPr>
        <w:tabs>
          <w:tab w:val="num" w:pos="284"/>
        </w:tabs>
        <w:ind w:left="284" w:hanging="171"/>
      </w:pPr>
      <w:rPr>
        <w:rFonts w:ascii="Symbol" w:hAnsi="Symbol" w:hint="default"/>
      </w:rPr>
    </w:lvl>
    <w:lvl w:ilvl="1" w:tplc="08090003" w:tentative="1">
      <w:start w:val="1"/>
      <w:numFmt w:val="bullet"/>
      <w:lvlText w:val="o"/>
      <w:lvlJc w:val="left"/>
      <w:pPr>
        <w:tabs>
          <w:tab w:val="num" w:pos="1553"/>
        </w:tabs>
        <w:ind w:left="1553" w:hanging="360"/>
      </w:pPr>
      <w:rPr>
        <w:rFonts w:ascii="Courier New" w:hAnsi="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68">
    <w:nsid w:val="548F2798"/>
    <w:multiLevelType w:val="hybridMultilevel"/>
    <w:tmpl w:val="A98CF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6D2068C"/>
    <w:multiLevelType w:val="hybridMultilevel"/>
    <w:tmpl w:val="A5D8DE30"/>
    <w:lvl w:ilvl="0" w:tplc="C0F87946">
      <w:start w:val="1"/>
      <w:numFmt w:val="bullet"/>
      <w:lvlText w:val=""/>
      <w:lvlJc w:val="left"/>
      <w:pPr>
        <w:tabs>
          <w:tab w:val="num" w:pos="284"/>
        </w:tabs>
        <w:ind w:left="284" w:hanging="171"/>
      </w:pPr>
      <w:rPr>
        <w:rFonts w:ascii="Symbol" w:hAnsi="Symbol" w:hint="default"/>
      </w:rPr>
    </w:lvl>
    <w:lvl w:ilvl="1" w:tplc="DAB4B2DA" w:tentative="1">
      <w:start w:val="1"/>
      <w:numFmt w:val="bullet"/>
      <w:lvlText w:val="o"/>
      <w:lvlJc w:val="left"/>
      <w:pPr>
        <w:tabs>
          <w:tab w:val="num" w:pos="1553"/>
        </w:tabs>
        <w:ind w:left="1553" w:hanging="360"/>
      </w:pPr>
      <w:rPr>
        <w:rFonts w:ascii="Courier New" w:hAnsi="Courier New" w:hint="default"/>
      </w:rPr>
    </w:lvl>
    <w:lvl w:ilvl="2" w:tplc="D374B9FA" w:tentative="1">
      <w:start w:val="1"/>
      <w:numFmt w:val="bullet"/>
      <w:lvlText w:val=""/>
      <w:lvlJc w:val="left"/>
      <w:pPr>
        <w:tabs>
          <w:tab w:val="num" w:pos="2273"/>
        </w:tabs>
        <w:ind w:left="2273" w:hanging="360"/>
      </w:pPr>
      <w:rPr>
        <w:rFonts w:ascii="Wingdings" w:hAnsi="Wingdings" w:hint="default"/>
      </w:rPr>
    </w:lvl>
    <w:lvl w:ilvl="3" w:tplc="5986F8D6" w:tentative="1">
      <w:start w:val="1"/>
      <w:numFmt w:val="bullet"/>
      <w:lvlText w:val=""/>
      <w:lvlJc w:val="left"/>
      <w:pPr>
        <w:tabs>
          <w:tab w:val="num" w:pos="2993"/>
        </w:tabs>
        <w:ind w:left="2993" w:hanging="360"/>
      </w:pPr>
      <w:rPr>
        <w:rFonts w:ascii="Symbol" w:hAnsi="Symbol" w:hint="default"/>
      </w:rPr>
    </w:lvl>
    <w:lvl w:ilvl="4" w:tplc="B40257E6" w:tentative="1">
      <w:start w:val="1"/>
      <w:numFmt w:val="bullet"/>
      <w:lvlText w:val="o"/>
      <w:lvlJc w:val="left"/>
      <w:pPr>
        <w:tabs>
          <w:tab w:val="num" w:pos="3713"/>
        </w:tabs>
        <w:ind w:left="3713" w:hanging="360"/>
      </w:pPr>
      <w:rPr>
        <w:rFonts w:ascii="Courier New" w:hAnsi="Courier New" w:hint="default"/>
      </w:rPr>
    </w:lvl>
    <w:lvl w:ilvl="5" w:tplc="6908B888" w:tentative="1">
      <w:start w:val="1"/>
      <w:numFmt w:val="bullet"/>
      <w:lvlText w:val=""/>
      <w:lvlJc w:val="left"/>
      <w:pPr>
        <w:tabs>
          <w:tab w:val="num" w:pos="4433"/>
        </w:tabs>
        <w:ind w:left="4433" w:hanging="360"/>
      </w:pPr>
      <w:rPr>
        <w:rFonts w:ascii="Wingdings" w:hAnsi="Wingdings" w:hint="default"/>
      </w:rPr>
    </w:lvl>
    <w:lvl w:ilvl="6" w:tplc="A98C0654" w:tentative="1">
      <w:start w:val="1"/>
      <w:numFmt w:val="bullet"/>
      <w:lvlText w:val=""/>
      <w:lvlJc w:val="left"/>
      <w:pPr>
        <w:tabs>
          <w:tab w:val="num" w:pos="5153"/>
        </w:tabs>
        <w:ind w:left="5153" w:hanging="360"/>
      </w:pPr>
      <w:rPr>
        <w:rFonts w:ascii="Symbol" w:hAnsi="Symbol" w:hint="default"/>
      </w:rPr>
    </w:lvl>
    <w:lvl w:ilvl="7" w:tplc="FDC03588" w:tentative="1">
      <w:start w:val="1"/>
      <w:numFmt w:val="bullet"/>
      <w:lvlText w:val="o"/>
      <w:lvlJc w:val="left"/>
      <w:pPr>
        <w:tabs>
          <w:tab w:val="num" w:pos="5873"/>
        </w:tabs>
        <w:ind w:left="5873" w:hanging="360"/>
      </w:pPr>
      <w:rPr>
        <w:rFonts w:ascii="Courier New" w:hAnsi="Courier New" w:hint="default"/>
      </w:rPr>
    </w:lvl>
    <w:lvl w:ilvl="8" w:tplc="15CA2D66" w:tentative="1">
      <w:start w:val="1"/>
      <w:numFmt w:val="bullet"/>
      <w:lvlText w:val=""/>
      <w:lvlJc w:val="left"/>
      <w:pPr>
        <w:tabs>
          <w:tab w:val="num" w:pos="6593"/>
        </w:tabs>
        <w:ind w:left="6593" w:hanging="360"/>
      </w:pPr>
      <w:rPr>
        <w:rFonts w:ascii="Wingdings" w:hAnsi="Wingdings" w:hint="default"/>
      </w:rPr>
    </w:lvl>
  </w:abstractNum>
  <w:abstractNum w:abstractNumId="70">
    <w:nsid w:val="56FC4794"/>
    <w:multiLevelType w:val="hybridMultilevel"/>
    <w:tmpl w:val="5E881D82"/>
    <w:lvl w:ilvl="0" w:tplc="EEE0A2F6">
      <w:start w:val="1"/>
      <w:numFmt w:val="lowerRoman"/>
      <w:lvlText w:val="%1."/>
      <w:lvlJc w:val="left"/>
      <w:pPr>
        <w:tabs>
          <w:tab w:val="num" w:pos="1134"/>
        </w:tabs>
        <w:ind w:left="1134" w:hanging="414"/>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1">
    <w:nsid w:val="58877BCF"/>
    <w:multiLevelType w:val="hybridMultilevel"/>
    <w:tmpl w:val="ECCABFEA"/>
    <w:lvl w:ilvl="0" w:tplc="FA285648">
      <w:start w:val="1"/>
      <w:numFmt w:val="decimal"/>
      <w:lvlText w:val="%1."/>
      <w:lvlJc w:val="left"/>
      <w:pPr>
        <w:tabs>
          <w:tab w:val="num" w:pos="720"/>
        </w:tabs>
        <w:ind w:left="720" w:hanging="360"/>
      </w:pPr>
      <w:rPr>
        <w:rFonts w:cs="Times New Roman" w:hint="default"/>
      </w:rPr>
    </w:lvl>
    <w:lvl w:ilvl="1" w:tplc="5DA62346" w:tentative="1">
      <w:start w:val="1"/>
      <w:numFmt w:val="lowerLetter"/>
      <w:lvlText w:val="%2."/>
      <w:lvlJc w:val="left"/>
      <w:pPr>
        <w:tabs>
          <w:tab w:val="num" w:pos="1440"/>
        </w:tabs>
        <w:ind w:left="1440" w:hanging="360"/>
      </w:pPr>
      <w:rPr>
        <w:rFonts w:cs="Times New Roman"/>
      </w:rPr>
    </w:lvl>
    <w:lvl w:ilvl="2" w:tplc="BA14FF24" w:tentative="1">
      <w:start w:val="1"/>
      <w:numFmt w:val="lowerRoman"/>
      <w:lvlText w:val="%3."/>
      <w:lvlJc w:val="right"/>
      <w:pPr>
        <w:tabs>
          <w:tab w:val="num" w:pos="2160"/>
        </w:tabs>
        <w:ind w:left="2160" w:hanging="180"/>
      </w:pPr>
      <w:rPr>
        <w:rFonts w:cs="Times New Roman"/>
      </w:rPr>
    </w:lvl>
    <w:lvl w:ilvl="3" w:tplc="8CB80BC8" w:tentative="1">
      <w:start w:val="1"/>
      <w:numFmt w:val="decimal"/>
      <w:lvlText w:val="%4."/>
      <w:lvlJc w:val="left"/>
      <w:pPr>
        <w:tabs>
          <w:tab w:val="num" w:pos="2880"/>
        </w:tabs>
        <w:ind w:left="2880" w:hanging="360"/>
      </w:pPr>
      <w:rPr>
        <w:rFonts w:cs="Times New Roman"/>
      </w:rPr>
    </w:lvl>
    <w:lvl w:ilvl="4" w:tplc="4A0E66E2" w:tentative="1">
      <w:start w:val="1"/>
      <w:numFmt w:val="lowerLetter"/>
      <w:lvlText w:val="%5."/>
      <w:lvlJc w:val="left"/>
      <w:pPr>
        <w:tabs>
          <w:tab w:val="num" w:pos="3600"/>
        </w:tabs>
        <w:ind w:left="3600" w:hanging="360"/>
      </w:pPr>
      <w:rPr>
        <w:rFonts w:cs="Times New Roman"/>
      </w:rPr>
    </w:lvl>
    <w:lvl w:ilvl="5" w:tplc="46A2269A" w:tentative="1">
      <w:start w:val="1"/>
      <w:numFmt w:val="lowerRoman"/>
      <w:lvlText w:val="%6."/>
      <w:lvlJc w:val="right"/>
      <w:pPr>
        <w:tabs>
          <w:tab w:val="num" w:pos="4320"/>
        </w:tabs>
        <w:ind w:left="4320" w:hanging="180"/>
      </w:pPr>
      <w:rPr>
        <w:rFonts w:cs="Times New Roman"/>
      </w:rPr>
    </w:lvl>
    <w:lvl w:ilvl="6" w:tplc="315AAB78" w:tentative="1">
      <w:start w:val="1"/>
      <w:numFmt w:val="decimal"/>
      <w:lvlText w:val="%7."/>
      <w:lvlJc w:val="left"/>
      <w:pPr>
        <w:tabs>
          <w:tab w:val="num" w:pos="5040"/>
        </w:tabs>
        <w:ind w:left="5040" w:hanging="360"/>
      </w:pPr>
      <w:rPr>
        <w:rFonts w:cs="Times New Roman"/>
      </w:rPr>
    </w:lvl>
    <w:lvl w:ilvl="7" w:tplc="B1163902" w:tentative="1">
      <w:start w:val="1"/>
      <w:numFmt w:val="lowerLetter"/>
      <w:lvlText w:val="%8."/>
      <w:lvlJc w:val="left"/>
      <w:pPr>
        <w:tabs>
          <w:tab w:val="num" w:pos="5760"/>
        </w:tabs>
        <w:ind w:left="5760" w:hanging="360"/>
      </w:pPr>
      <w:rPr>
        <w:rFonts w:cs="Times New Roman"/>
      </w:rPr>
    </w:lvl>
    <w:lvl w:ilvl="8" w:tplc="734810AA" w:tentative="1">
      <w:start w:val="1"/>
      <w:numFmt w:val="lowerRoman"/>
      <w:lvlText w:val="%9."/>
      <w:lvlJc w:val="right"/>
      <w:pPr>
        <w:tabs>
          <w:tab w:val="num" w:pos="6480"/>
        </w:tabs>
        <w:ind w:left="6480" w:hanging="180"/>
      </w:pPr>
      <w:rPr>
        <w:rFonts w:cs="Times New Roman"/>
      </w:rPr>
    </w:lvl>
  </w:abstractNum>
  <w:abstractNum w:abstractNumId="72">
    <w:nsid w:val="595C60A8"/>
    <w:multiLevelType w:val="hybridMultilevel"/>
    <w:tmpl w:val="8AF0ABDA"/>
    <w:lvl w:ilvl="0" w:tplc="EEE0A2F6">
      <w:start w:val="1"/>
      <w:numFmt w:val="bullet"/>
      <w:lvlText w:val="-"/>
      <w:lvlJc w:val="left"/>
      <w:pPr>
        <w:tabs>
          <w:tab w:val="num" w:pos="397"/>
        </w:tabs>
        <w:ind w:left="397" w:hanging="113"/>
      </w:pPr>
      <w:rPr>
        <w:rFonts w:ascii="Courier New" w:hAnsi="Courier New" w:hint="default"/>
      </w:rPr>
    </w:lvl>
    <w:lvl w:ilvl="1" w:tplc="317494E0"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3">
    <w:nsid w:val="5BDA03DF"/>
    <w:multiLevelType w:val="hybridMultilevel"/>
    <w:tmpl w:val="5ECAD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DE25F92"/>
    <w:multiLevelType w:val="hybridMultilevel"/>
    <w:tmpl w:val="F9F029DA"/>
    <w:lvl w:ilvl="0" w:tplc="AFD8714E">
      <w:start w:val="1"/>
      <w:numFmt w:val="decimal"/>
      <w:lvlText w:val="%1."/>
      <w:lvlJc w:val="left"/>
      <w:pPr>
        <w:tabs>
          <w:tab w:val="num" w:pos="720"/>
        </w:tabs>
        <w:ind w:left="720" w:hanging="360"/>
      </w:pPr>
      <w:rPr>
        <w:rFonts w:cs="Times New Roman"/>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75">
    <w:nsid w:val="5F382039"/>
    <w:multiLevelType w:val="hybridMultilevel"/>
    <w:tmpl w:val="C1FA0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FA453F8"/>
    <w:multiLevelType w:val="hybridMultilevel"/>
    <w:tmpl w:val="9426EBC4"/>
    <w:lvl w:ilvl="0" w:tplc="08090001">
      <w:start w:val="1"/>
      <w:numFmt w:val="decimal"/>
      <w:lvlText w:val="%1."/>
      <w:lvlJc w:val="left"/>
      <w:pPr>
        <w:tabs>
          <w:tab w:val="num" w:pos="360"/>
        </w:tabs>
        <w:ind w:left="360" w:hanging="360"/>
      </w:pPr>
      <w:rPr>
        <w:rFonts w:cs="Times New Roman" w:hint="default"/>
      </w:rPr>
    </w:lvl>
    <w:lvl w:ilvl="1" w:tplc="08090003">
      <w:start w:val="1"/>
      <w:numFmt w:val="bullet"/>
      <w:pStyle w:val="Bullets2"/>
      <w:lvlText w:val="-"/>
      <w:lvlJc w:val="left"/>
      <w:pPr>
        <w:tabs>
          <w:tab w:val="num" w:pos="1505"/>
        </w:tabs>
        <w:ind w:left="1505" w:hanging="425"/>
      </w:pPr>
      <w:rPr>
        <w:rFonts w:ascii="Courier New" w:hAnsi="Courier New" w:hint="default"/>
      </w:rPr>
    </w:lvl>
    <w:lvl w:ilvl="2" w:tplc="41BE6F6C">
      <w:start w:val="1"/>
      <w:numFmt w:val="decimal"/>
      <w:lvlText w:val="%3"/>
      <w:lvlJc w:val="left"/>
      <w:pPr>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nsid w:val="601431EF"/>
    <w:multiLevelType w:val="multilevel"/>
    <w:tmpl w:val="18B89BBE"/>
    <w:lvl w:ilvl="0">
      <w:start w:val="1"/>
      <w:numFmt w:val="decimal"/>
      <w:pStyle w:val="MRPOMinutes1"/>
      <w:lvlText w:val="%1"/>
      <w:lvlJc w:val="left"/>
      <w:pPr>
        <w:tabs>
          <w:tab w:val="num" w:pos="454"/>
        </w:tabs>
        <w:ind w:left="454" w:hanging="454"/>
      </w:pPr>
      <w:rPr>
        <w:rFonts w:cs="Times New Roman" w:hint="default"/>
      </w:rPr>
    </w:lvl>
    <w:lvl w:ilvl="1">
      <w:start w:val="1"/>
      <w:numFmt w:val="decimal"/>
      <w:pStyle w:val="MRPOMinutes2"/>
      <w:lvlText w:val="%1.%2"/>
      <w:lvlJc w:val="left"/>
      <w:pPr>
        <w:tabs>
          <w:tab w:val="num" w:pos="720"/>
        </w:tabs>
        <w:ind w:left="720" w:hanging="720"/>
      </w:pPr>
      <w:rPr>
        <w:rFonts w:cs="Times New Roman" w:hint="default"/>
      </w:rPr>
    </w:lvl>
    <w:lvl w:ilvl="2">
      <w:start w:val="1"/>
      <w:numFmt w:val="decimal"/>
      <w:pStyle w:val="MRPOMinutes3"/>
      <w:lvlText w:val="%1.%2.%3"/>
      <w:lvlJc w:val="left"/>
      <w:pPr>
        <w:tabs>
          <w:tab w:val="num" w:pos="720"/>
        </w:tabs>
        <w:ind w:left="720" w:hanging="720"/>
      </w:pPr>
      <w:rPr>
        <w:rFonts w:cs="Times New Roman" w:hint="default"/>
      </w:rPr>
    </w:lvl>
    <w:lvl w:ilvl="3">
      <w:start w:val="1"/>
      <w:numFmt w:val="decimal"/>
      <w:pStyle w:val="MRPOMinutes4"/>
      <w:lvlText w:val="%1.%2.%3.%4"/>
      <w:lvlJc w:val="left"/>
      <w:pPr>
        <w:tabs>
          <w:tab w:val="num" w:pos="864"/>
        </w:tabs>
        <w:ind w:left="864" w:hanging="864"/>
      </w:pPr>
      <w:rPr>
        <w:rFonts w:cs="Times New Roman" w:hint="default"/>
      </w:rPr>
    </w:lvl>
    <w:lvl w:ilvl="4">
      <w:start w:val="1"/>
      <w:numFmt w:val="decimal"/>
      <w:pStyle w:val="MRPOMinutes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8">
    <w:nsid w:val="60B718EF"/>
    <w:multiLevelType w:val="multilevel"/>
    <w:tmpl w:val="B510D950"/>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614262D2"/>
    <w:multiLevelType w:val="hybridMultilevel"/>
    <w:tmpl w:val="B41C1858"/>
    <w:lvl w:ilvl="0" w:tplc="03F067E0">
      <w:start w:val="1"/>
      <w:numFmt w:val="bullet"/>
      <w:lvlText w:val=""/>
      <w:lvlJc w:val="left"/>
      <w:pPr>
        <w:tabs>
          <w:tab w:val="num" w:pos="720"/>
        </w:tabs>
        <w:ind w:left="720" w:hanging="360"/>
      </w:pPr>
      <w:rPr>
        <w:rFonts w:ascii="Symbol" w:hAnsi="Symbol" w:hint="default"/>
      </w:rPr>
    </w:lvl>
    <w:lvl w:ilvl="1" w:tplc="8B7ECCB4" w:tentative="1">
      <w:start w:val="1"/>
      <w:numFmt w:val="bullet"/>
      <w:lvlText w:val="o"/>
      <w:lvlJc w:val="left"/>
      <w:pPr>
        <w:tabs>
          <w:tab w:val="num" w:pos="1440"/>
        </w:tabs>
        <w:ind w:left="1440" w:hanging="360"/>
      </w:pPr>
      <w:rPr>
        <w:rFonts w:ascii="Courier New" w:hAnsi="Courier New" w:hint="default"/>
      </w:rPr>
    </w:lvl>
    <w:lvl w:ilvl="2" w:tplc="A1E2D90E" w:tentative="1">
      <w:start w:val="1"/>
      <w:numFmt w:val="bullet"/>
      <w:lvlText w:val=""/>
      <w:lvlJc w:val="left"/>
      <w:pPr>
        <w:tabs>
          <w:tab w:val="num" w:pos="2160"/>
        </w:tabs>
        <w:ind w:left="2160" w:hanging="360"/>
      </w:pPr>
      <w:rPr>
        <w:rFonts w:ascii="Wingdings" w:hAnsi="Wingdings" w:hint="default"/>
      </w:rPr>
    </w:lvl>
    <w:lvl w:ilvl="3" w:tplc="92AC6848" w:tentative="1">
      <w:start w:val="1"/>
      <w:numFmt w:val="bullet"/>
      <w:lvlText w:val=""/>
      <w:lvlJc w:val="left"/>
      <w:pPr>
        <w:tabs>
          <w:tab w:val="num" w:pos="2880"/>
        </w:tabs>
        <w:ind w:left="2880" w:hanging="360"/>
      </w:pPr>
      <w:rPr>
        <w:rFonts w:ascii="Symbol" w:hAnsi="Symbol" w:hint="default"/>
      </w:rPr>
    </w:lvl>
    <w:lvl w:ilvl="4" w:tplc="F952765C" w:tentative="1">
      <w:start w:val="1"/>
      <w:numFmt w:val="bullet"/>
      <w:lvlText w:val="o"/>
      <w:lvlJc w:val="left"/>
      <w:pPr>
        <w:tabs>
          <w:tab w:val="num" w:pos="3600"/>
        </w:tabs>
        <w:ind w:left="3600" w:hanging="360"/>
      </w:pPr>
      <w:rPr>
        <w:rFonts w:ascii="Courier New" w:hAnsi="Courier New" w:hint="default"/>
      </w:rPr>
    </w:lvl>
    <w:lvl w:ilvl="5" w:tplc="1CCC1A36" w:tentative="1">
      <w:start w:val="1"/>
      <w:numFmt w:val="bullet"/>
      <w:lvlText w:val=""/>
      <w:lvlJc w:val="left"/>
      <w:pPr>
        <w:tabs>
          <w:tab w:val="num" w:pos="4320"/>
        </w:tabs>
        <w:ind w:left="4320" w:hanging="360"/>
      </w:pPr>
      <w:rPr>
        <w:rFonts w:ascii="Wingdings" w:hAnsi="Wingdings" w:hint="default"/>
      </w:rPr>
    </w:lvl>
    <w:lvl w:ilvl="6" w:tplc="067298A0" w:tentative="1">
      <w:start w:val="1"/>
      <w:numFmt w:val="bullet"/>
      <w:lvlText w:val=""/>
      <w:lvlJc w:val="left"/>
      <w:pPr>
        <w:tabs>
          <w:tab w:val="num" w:pos="5040"/>
        </w:tabs>
        <w:ind w:left="5040" w:hanging="360"/>
      </w:pPr>
      <w:rPr>
        <w:rFonts w:ascii="Symbol" w:hAnsi="Symbol" w:hint="default"/>
      </w:rPr>
    </w:lvl>
    <w:lvl w:ilvl="7" w:tplc="C6621D12" w:tentative="1">
      <w:start w:val="1"/>
      <w:numFmt w:val="bullet"/>
      <w:lvlText w:val="o"/>
      <w:lvlJc w:val="left"/>
      <w:pPr>
        <w:tabs>
          <w:tab w:val="num" w:pos="5760"/>
        </w:tabs>
        <w:ind w:left="5760" w:hanging="360"/>
      </w:pPr>
      <w:rPr>
        <w:rFonts w:ascii="Courier New" w:hAnsi="Courier New" w:hint="default"/>
      </w:rPr>
    </w:lvl>
    <w:lvl w:ilvl="8" w:tplc="B35C5806" w:tentative="1">
      <w:start w:val="1"/>
      <w:numFmt w:val="bullet"/>
      <w:lvlText w:val=""/>
      <w:lvlJc w:val="left"/>
      <w:pPr>
        <w:tabs>
          <w:tab w:val="num" w:pos="6480"/>
        </w:tabs>
        <w:ind w:left="6480" w:hanging="360"/>
      </w:pPr>
      <w:rPr>
        <w:rFonts w:ascii="Wingdings" w:hAnsi="Wingdings" w:hint="default"/>
      </w:rPr>
    </w:lvl>
  </w:abstractNum>
  <w:abstractNum w:abstractNumId="80">
    <w:nsid w:val="63127792"/>
    <w:multiLevelType w:val="hybridMultilevel"/>
    <w:tmpl w:val="661CCE42"/>
    <w:lvl w:ilvl="0" w:tplc="4A0645A4">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63ED3B7C"/>
    <w:multiLevelType w:val="hybridMultilevel"/>
    <w:tmpl w:val="8C0ABBCE"/>
    <w:lvl w:ilvl="0" w:tplc="019C276E">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82">
    <w:nsid w:val="647A5EED"/>
    <w:multiLevelType w:val="hybridMultilevel"/>
    <w:tmpl w:val="F5F07B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64F14D56"/>
    <w:multiLevelType w:val="multilevel"/>
    <w:tmpl w:val="BF00FEAA"/>
    <w:lvl w:ilvl="0">
      <w:start w:val="1"/>
      <w:numFmt w:val="decimal"/>
      <w:lvlText w:val="%1."/>
      <w:lvlJc w:val="left"/>
      <w:pPr>
        <w:tabs>
          <w:tab w:val="num" w:pos="2421"/>
        </w:tabs>
        <w:ind w:left="2421" w:hanging="360"/>
      </w:pPr>
      <w:rPr>
        <w:rFonts w:hint="default"/>
      </w:rPr>
    </w:lvl>
    <w:lvl w:ilvl="1">
      <w:start w:val="36"/>
      <w:numFmt w:val="decimal"/>
      <w:isLgl/>
      <w:lvlText w:val="%1.%2"/>
      <w:lvlJc w:val="left"/>
      <w:pPr>
        <w:ind w:left="2766" w:hanging="705"/>
      </w:pPr>
      <w:rPr>
        <w:rFonts w:hint="default"/>
      </w:rPr>
    </w:lvl>
    <w:lvl w:ilvl="2">
      <w:start w:val="5"/>
      <w:numFmt w:val="decimal"/>
      <w:isLgl/>
      <w:lvlText w:val="%1.%2.%3"/>
      <w:lvlJc w:val="left"/>
      <w:pPr>
        <w:ind w:left="2781" w:hanging="720"/>
      </w:pPr>
      <w:rPr>
        <w:rFonts w:hint="default"/>
      </w:rPr>
    </w:lvl>
    <w:lvl w:ilvl="3">
      <w:start w:val="3"/>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84">
    <w:nsid w:val="65AE11E7"/>
    <w:multiLevelType w:val="hybridMultilevel"/>
    <w:tmpl w:val="01F68AE0"/>
    <w:lvl w:ilvl="0" w:tplc="EEE0A2F6">
      <w:start w:val="1"/>
      <w:numFmt w:val="bullet"/>
      <w:lvlText w:val="-"/>
      <w:lvlJc w:val="left"/>
      <w:pPr>
        <w:tabs>
          <w:tab w:val="num" w:pos="397"/>
        </w:tabs>
        <w:ind w:left="397" w:hanging="113"/>
      </w:pPr>
      <w:rPr>
        <w:rFonts w:ascii="Courier New" w:hAnsi="Courier New" w:hint="default"/>
      </w:rPr>
    </w:lvl>
    <w:lvl w:ilvl="1" w:tplc="08090019">
      <w:start w:val="1"/>
      <w:numFmt w:val="bullet"/>
      <w:lvlText w:val="-"/>
      <w:lvlJc w:val="left"/>
      <w:pPr>
        <w:tabs>
          <w:tab w:val="num" w:pos="567"/>
        </w:tabs>
        <w:ind w:left="567" w:hanging="283"/>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85">
    <w:nsid w:val="65C1605D"/>
    <w:multiLevelType w:val="hybridMultilevel"/>
    <w:tmpl w:val="B16ACD06"/>
    <w:lvl w:ilvl="0" w:tplc="A93E209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6127E62"/>
    <w:multiLevelType w:val="hybridMultilevel"/>
    <w:tmpl w:val="9D789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69AF1E01"/>
    <w:multiLevelType w:val="hybridMultilevel"/>
    <w:tmpl w:val="812C0340"/>
    <w:lvl w:ilvl="0" w:tplc="0809000F">
      <w:start w:val="1"/>
      <w:numFmt w:val="decimal"/>
      <w:lvlText w:val="%1."/>
      <w:lvlJc w:val="left"/>
      <w:pPr>
        <w:tabs>
          <w:tab w:val="num" w:pos="360"/>
        </w:tabs>
        <w:ind w:left="360" w:hanging="360"/>
      </w:pPr>
      <w:rPr>
        <w:rFonts w:cs="Times New Roman"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88">
    <w:nsid w:val="6BA61B90"/>
    <w:multiLevelType w:val="hybridMultilevel"/>
    <w:tmpl w:val="38707B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9">
    <w:nsid w:val="6E864B83"/>
    <w:multiLevelType w:val="multilevel"/>
    <w:tmpl w:val="43C6722E"/>
    <w:lvl w:ilvl="0">
      <w:start w:val="1"/>
      <w:numFmt w:val="decimal"/>
      <w:lvlText w:val="%1."/>
      <w:lvlJc w:val="left"/>
      <w:pPr>
        <w:tabs>
          <w:tab w:val="num" w:pos="720"/>
        </w:tabs>
        <w:ind w:left="720" w:hanging="360"/>
      </w:pPr>
      <w:rPr>
        <w:rFonts w:cs="Times New Roman" w:hint="default"/>
      </w:rPr>
    </w:lvl>
    <w:lvl w:ilvl="1">
      <w:start w:val="32"/>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70B81C1A"/>
    <w:multiLevelType w:val="multilevel"/>
    <w:tmpl w:val="375AC57A"/>
    <w:lvl w:ilvl="0">
      <w:start w:val="1"/>
      <w:numFmt w:val="decimal"/>
      <w:lvlText w:val="%1."/>
      <w:lvlJc w:val="left"/>
      <w:pPr>
        <w:tabs>
          <w:tab w:val="num" w:pos="1080"/>
        </w:tabs>
        <w:ind w:left="1080" w:hanging="360"/>
      </w:pPr>
      <w:rPr>
        <w:rFonts w:cs="Times New Roman" w:hint="default"/>
      </w:rPr>
    </w:lvl>
    <w:lvl w:ilvl="1">
      <w:start w:val="2"/>
      <w:numFmt w:val="decimal"/>
      <w:isLgl/>
      <w:lvlText w:val="%1.%2"/>
      <w:lvlJc w:val="left"/>
      <w:pPr>
        <w:ind w:left="1155" w:hanging="43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1">
    <w:nsid w:val="75465F33"/>
    <w:multiLevelType w:val="hybridMultilevel"/>
    <w:tmpl w:val="CA2C8FAE"/>
    <w:lvl w:ilvl="0" w:tplc="019C27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6350FFB"/>
    <w:multiLevelType w:val="multilevel"/>
    <w:tmpl w:val="33BAF81A"/>
    <w:lvl w:ilvl="0">
      <w:start w:val="1"/>
      <w:numFmt w:val="decimal"/>
      <w:pStyle w:val="Heading1"/>
      <w:lvlText w:val="%1."/>
      <w:lvlJc w:val="left"/>
      <w:pPr>
        <w:tabs>
          <w:tab w:val="num" w:pos="432"/>
        </w:tabs>
        <w:ind w:left="454" w:hanging="454"/>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862"/>
        </w:tabs>
        <w:ind w:left="862" w:hanging="72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93">
    <w:nsid w:val="768101C5"/>
    <w:multiLevelType w:val="hybridMultilevel"/>
    <w:tmpl w:val="FEFA4E4C"/>
    <w:lvl w:ilvl="0" w:tplc="69624800">
      <w:start w:val="1"/>
      <w:numFmt w:val="bullet"/>
      <w:lvlText w:val=""/>
      <w:lvlJc w:val="left"/>
      <w:pPr>
        <w:tabs>
          <w:tab w:val="num" w:pos="360"/>
        </w:tabs>
        <w:ind w:left="360" w:hanging="360"/>
      </w:pPr>
      <w:rPr>
        <w:rFonts w:ascii="Symbol" w:hAnsi="Symbol" w:hint="default"/>
        <w:color w:val="auto"/>
      </w:rPr>
    </w:lvl>
    <w:lvl w:ilvl="1" w:tplc="AB462B24" w:tentative="1">
      <w:start w:val="1"/>
      <w:numFmt w:val="bullet"/>
      <w:lvlText w:val="o"/>
      <w:lvlJc w:val="left"/>
      <w:pPr>
        <w:tabs>
          <w:tab w:val="num" w:pos="1440"/>
        </w:tabs>
        <w:ind w:left="1440" w:hanging="360"/>
      </w:pPr>
      <w:rPr>
        <w:rFonts w:ascii="Courier New" w:hAnsi="Courier New" w:hint="default"/>
      </w:rPr>
    </w:lvl>
    <w:lvl w:ilvl="2" w:tplc="6464DBB6" w:tentative="1">
      <w:start w:val="1"/>
      <w:numFmt w:val="bullet"/>
      <w:lvlText w:val=""/>
      <w:lvlJc w:val="left"/>
      <w:pPr>
        <w:tabs>
          <w:tab w:val="num" w:pos="2160"/>
        </w:tabs>
        <w:ind w:left="2160" w:hanging="360"/>
      </w:pPr>
      <w:rPr>
        <w:rFonts w:ascii="Wingdings" w:hAnsi="Wingdings" w:hint="default"/>
      </w:rPr>
    </w:lvl>
    <w:lvl w:ilvl="3" w:tplc="6C64A50C" w:tentative="1">
      <w:start w:val="1"/>
      <w:numFmt w:val="bullet"/>
      <w:lvlText w:val=""/>
      <w:lvlJc w:val="left"/>
      <w:pPr>
        <w:tabs>
          <w:tab w:val="num" w:pos="2880"/>
        </w:tabs>
        <w:ind w:left="2880" w:hanging="360"/>
      </w:pPr>
      <w:rPr>
        <w:rFonts w:ascii="Symbol" w:hAnsi="Symbol" w:hint="default"/>
      </w:rPr>
    </w:lvl>
    <w:lvl w:ilvl="4" w:tplc="5972E46E" w:tentative="1">
      <w:start w:val="1"/>
      <w:numFmt w:val="bullet"/>
      <w:lvlText w:val="o"/>
      <w:lvlJc w:val="left"/>
      <w:pPr>
        <w:tabs>
          <w:tab w:val="num" w:pos="3600"/>
        </w:tabs>
        <w:ind w:left="3600" w:hanging="360"/>
      </w:pPr>
      <w:rPr>
        <w:rFonts w:ascii="Courier New" w:hAnsi="Courier New" w:hint="default"/>
      </w:rPr>
    </w:lvl>
    <w:lvl w:ilvl="5" w:tplc="FE48BF8C" w:tentative="1">
      <w:start w:val="1"/>
      <w:numFmt w:val="bullet"/>
      <w:lvlText w:val=""/>
      <w:lvlJc w:val="left"/>
      <w:pPr>
        <w:tabs>
          <w:tab w:val="num" w:pos="4320"/>
        </w:tabs>
        <w:ind w:left="4320" w:hanging="360"/>
      </w:pPr>
      <w:rPr>
        <w:rFonts w:ascii="Wingdings" w:hAnsi="Wingdings" w:hint="default"/>
      </w:rPr>
    </w:lvl>
    <w:lvl w:ilvl="6" w:tplc="120A4F0C" w:tentative="1">
      <w:start w:val="1"/>
      <w:numFmt w:val="bullet"/>
      <w:lvlText w:val=""/>
      <w:lvlJc w:val="left"/>
      <w:pPr>
        <w:tabs>
          <w:tab w:val="num" w:pos="5040"/>
        </w:tabs>
        <w:ind w:left="5040" w:hanging="360"/>
      </w:pPr>
      <w:rPr>
        <w:rFonts w:ascii="Symbol" w:hAnsi="Symbol" w:hint="default"/>
      </w:rPr>
    </w:lvl>
    <w:lvl w:ilvl="7" w:tplc="0E24C796" w:tentative="1">
      <w:start w:val="1"/>
      <w:numFmt w:val="bullet"/>
      <w:lvlText w:val="o"/>
      <w:lvlJc w:val="left"/>
      <w:pPr>
        <w:tabs>
          <w:tab w:val="num" w:pos="5760"/>
        </w:tabs>
        <w:ind w:left="5760" w:hanging="360"/>
      </w:pPr>
      <w:rPr>
        <w:rFonts w:ascii="Courier New" w:hAnsi="Courier New" w:hint="default"/>
      </w:rPr>
    </w:lvl>
    <w:lvl w:ilvl="8" w:tplc="4EE64D3E" w:tentative="1">
      <w:start w:val="1"/>
      <w:numFmt w:val="bullet"/>
      <w:lvlText w:val=""/>
      <w:lvlJc w:val="left"/>
      <w:pPr>
        <w:tabs>
          <w:tab w:val="num" w:pos="6480"/>
        </w:tabs>
        <w:ind w:left="6480" w:hanging="360"/>
      </w:pPr>
      <w:rPr>
        <w:rFonts w:ascii="Wingdings" w:hAnsi="Wingdings" w:hint="default"/>
      </w:rPr>
    </w:lvl>
  </w:abstractNum>
  <w:abstractNum w:abstractNumId="94">
    <w:nsid w:val="76A03CA4"/>
    <w:multiLevelType w:val="hybridMultilevel"/>
    <w:tmpl w:val="613E1EA6"/>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95">
    <w:nsid w:val="76CA73EE"/>
    <w:multiLevelType w:val="hybridMultilevel"/>
    <w:tmpl w:val="A3A44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77164C56"/>
    <w:multiLevelType w:val="multilevel"/>
    <w:tmpl w:val="65C6EBA8"/>
    <w:lvl w:ilvl="0">
      <w:start w:val="4"/>
      <w:numFmt w:val="decimal"/>
      <w:lvlText w:val="%1"/>
      <w:lvlJc w:val="left"/>
      <w:pPr>
        <w:ind w:left="540" w:hanging="540"/>
      </w:pPr>
      <w:rPr>
        <w:rFonts w:hint="default"/>
      </w:rPr>
    </w:lvl>
    <w:lvl w:ilvl="1">
      <w:start w:val="3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771C5114"/>
    <w:multiLevelType w:val="hybridMultilevel"/>
    <w:tmpl w:val="B2D292FA"/>
    <w:lvl w:ilvl="0" w:tplc="08090001">
      <w:start w:val="1"/>
      <w:numFmt w:val="bullet"/>
      <w:lvlText w:val=""/>
      <w:lvlJc w:val="left"/>
      <w:pPr>
        <w:tabs>
          <w:tab w:val="num" w:pos="284"/>
        </w:tabs>
        <w:ind w:left="284" w:hanging="171"/>
      </w:pPr>
      <w:rPr>
        <w:rFonts w:ascii="Symbol" w:hAnsi="Symbol" w:hint="default"/>
      </w:rPr>
    </w:lvl>
    <w:lvl w:ilvl="1" w:tplc="08090003">
      <w:start w:val="1"/>
      <w:numFmt w:val="bullet"/>
      <w:lvlText w:val="-"/>
      <w:lvlJc w:val="left"/>
      <w:pPr>
        <w:tabs>
          <w:tab w:val="num" w:pos="1306"/>
        </w:tabs>
        <w:ind w:left="1306" w:hanging="113"/>
      </w:pPr>
      <w:rPr>
        <w:rFonts w:ascii="Courier New" w:hAnsi="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98">
    <w:nsid w:val="774C5FBE"/>
    <w:multiLevelType w:val="hybridMultilevel"/>
    <w:tmpl w:val="F71C9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7A21091C"/>
    <w:multiLevelType w:val="hybridMultilevel"/>
    <w:tmpl w:val="66705286"/>
    <w:lvl w:ilvl="0" w:tplc="1690145A">
      <w:numFmt w:val="bullet"/>
      <w:lvlText w:val="-"/>
      <w:lvlJc w:val="left"/>
      <w:pPr>
        <w:tabs>
          <w:tab w:val="num" w:pos="720"/>
        </w:tabs>
        <w:ind w:left="720" w:hanging="360"/>
      </w:pPr>
      <w:rPr>
        <w:rFonts w:ascii="Arial" w:eastAsia="Times New Roman" w:hAnsi="Arial" w:hint="default"/>
      </w:rPr>
    </w:lvl>
    <w:lvl w:ilvl="1" w:tplc="25A48820" w:tentative="1">
      <w:start w:val="1"/>
      <w:numFmt w:val="bullet"/>
      <w:lvlText w:val="o"/>
      <w:lvlJc w:val="left"/>
      <w:pPr>
        <w:tabs>
          <w:tab w:val="num" w:pos="1440"/>
        </w:tabs>
        <w:ind w:left="1440" w:hanging="360"/>
      </w:pPr>
      <w:rPr>
        <w:rFonts w:ascii="Courier New" w:hAnsi="Courier New" w:hint="default"/>
      </w:rPr>
    </w:lvl>
    <w:lvl w:ilvl="2" w:tplc="BA7CA09E" w:tentative="1">
      <w:start w:val="1"/>
      <w:numFmt w:val="bullet"/>
      <w:lvlText w:val=""/>
      <w:lvlJc w:val="left"/>
      <w:pPr>
        <w:tabs>
          <w:tab w:val="num" w:pos="2160"/>
        </w:tabs>
        <w:ind w:left="2160" w:hanging="360"/>
      </w:pPr>
      <w:rPr>
        <w:rFonts w:ascii="Wingdings" w:hAnsi="Wingdings" w:hint="default"/>
      </w:rPr>
    </w:lvl>
    <w:lvl w:ilvl="3" w:tplc="7526B484" w:tentative="1">
      <w:start w:val="1"/>
      <w:numFmt w:val="bullet"/>
      <w:lvlText w:val=""/>
      <w:lvlJc w:val="left"/>
      <w:pPr>
        <w:tabs>
          <w:tab w:val="num" w:pos="2880"/>
        </w:tabs>
        <w:ind w:left="2880" w:hanging="360"/>
      </w:pPr>
      <w:rPr>
        <w:rFonts w:ascii="Symbol" w:hAnsi="Symbol" w:hint="default"/>
      </w:rPr>
    </w:lvl>
    <w:lvl w:ilvl="4" w:tplc="DD6AB0A2" w:tentative="1">
      <w:start w:val="1"/>
      <w:numFmt w:val="bullet"/>
      <w:lvlText w:val="o"/>
      <w:lvlJc w:val="left"/>
      <w:pPr>
        <w:tabs>
          <w:tab w:val="num" w:pos="3600"/>
        </w:tabs>
        <w:ind w:left="3600" w:hanging="360"/>
      </w:pPr>
      <w:rPr>
        <w:rFonts w:ascii="Courier New" w:hAnsi="Courier New" w:hint="default"/>
      </w:rPr>
    </w:lvl>
    <w:lvl w:ilvl="5" w:tplc="AFA0004A" w:tentative="1">
      <w:start w:val="1"/>
      <w:numFmt w:val="bullet"/>
      <w:lvlText w:val=""/>
      <w:lvlJc w:val="left"/>
      <w:pPr>
        <w:tabs>
          <w:tab w:val="num" w:pos="4320"/>
        </w:tabs>
        <w:ind w:left="4320" w:hanging="360"/>
      </w:pPr>
      <w:rPr>
        <w:rFonts w:ascii="Wingdings" w:hAnsi="Wingdings" w:hint="default"/>
      </w:rPr>
    </w:lvl>
    <w:lvl w:ilvl="6" w:tplc="7AA45B74" w:tentative="1">
      <w:start w:val="1"/>
      <w:numFmt w:val="bullet"/>
      <w:lvlText w:val=""/>
      <w:lvlJc w:val="left"/>
      <w:pPr>
        <w:tabs>
          <w:tab w:val="num" w:pos="5040"/>
        </w:tabs>
        <w:ind w:left="5040" w:hanging="360"/>
      </w:pPr>
      <w:rPr>
        <w:rFonts w:ascii="Symbol" w:hAnsi="Symbol" w:hint="default"/>
      </w:rPr>
    </w:lvl>
    <w:lvl w:ilvl="7" w:tplc="04300DAA" w:tentative="1">
      <w:start w:val="1"/>
      <w:numFmt w:val="bullet"/>
      <w:lvlText w:val="o"/>
      <w:lvlJc w:val="left"/>
      <w:pPr>
        <w:tabs>
          <w:tab w:val="num" w:pos="5760"/>
        </w:tabs>
        <w:ind w:left="5760" w:hanging="360"/>
      </w:pPr>
      <w:rPr>
        <w:rFonts w:ascii="Courier New" w:hAnsi="Courier New" w:hint="default"/>
      </w:rPr>
    </w:lvl>
    <w:lvl w:ilvl="8" w:tplc="A7AE5B02" w:tentative="1">
      <w:start w:val="1"/>
      <w:numFmt w:val="bullet"/>
      <w:lvlText w:val=""/>
      <w:lvlJc w:val="left"/>
      <w:pPr>
        <w:tabs>
          <w:tab w:val="num" w:pos="6480"/>
        </w:tabs>
        <w:ind w:left="6480" w:hanging="360"/>
      </w:pPr>
      <w:rPr>
        <w:rFonts w:ascii="Wingdings" w:hAnsi="Wingdings" w:hint="default"/>
      </w:rPr>
    </w:lvl>
  </w:abstractNum>
  <w:abstractNum w:abstractNumId="100">
    <w:nsid w:val="7A5D22F2"/>
    <w:multiLevelType w:val="hybridMultilevel"/>
    <w:tmpl w:val="7B76E07C"/>
    <w:lvl w:ilvl="0" w:tplc="EEE0A2F6">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1">
    <w:nsid w:val="7BE434E5"/>
    <w:multiLevelType w:val="hybridMultilevel"/>
    <w:tmpl w:val="41D8738C"/>
    <w:lvl w:ilvl="0" w:tplc="839A384E">
      <w:start w:val="1"/>
      <w:numFmt w:val="bullet"/>
      <w:lvlText w:val=""/>
      <w:lvlJc w:val="left"/>
      <w:pPr>
        <w:tabs>
          <w:tab w:val="num" w:pos="284"/>
        </w:tabs>
        <w:ind w:left="284" w:hanging="171"/>
      </w:pPr>
      <w:rPr>
        <w:rFonts w:ascii="Symbol" w:hAnsi="Symbol" w:hint="default"/>
      </w:rPr>
    </w:lvl>
    <w:lvl w:ilvl="1" w:tplc="577A7924" w:tentative="1">
      <w:start w:val="1"/>
      <w:numFmt w:val="bullet"/>
      <w:lvlText w:val="o"/>
      <w:lvlJc w:val="left"/>
      <w:pPr>
        <w:tabs>
          <w:tab w:val="num" w:pos="1553"/>
        </w:tabs>
        <w:ind w:left="1553" w:hanging="360"/>
      </w:pPr>
      <w:rPr>
        <w:rFonts w:ascii="Courier New" w:hAnsi="Courier New" w:hint="default"/>
      </w:rPr>
    </w:lvl>
    <w:lvl w:ilvl="2" w:tplc="C1A0ABA6" w:tentative="1">
      <w:start w:val="1"/>
      <w:numFmt w:val="bullet"/>
      <w:lvlText w:val=""/>
      <w:lvlJc w:val="left"/>
      <w:pPr>
        <w:tabs>
          <w:tab w:val="num" w:pos="2273"/>
        </w:tabs>
        <w:ind w:left="2273" w:hanging="360"/>
      </w:pPr>
      <w:rPr>
        <w:rFonts w:ascii="Wingdings" w:hAnsi="Wingdings" w:hint="default"/>
      </w:rPr>
    </w:lvl>
    <w:lvl w:ilvl="3" w:tplc="A1E8D0F4" w:tentative="1">
      <w:start w:val="1"/>
      <w:numFmt w:val="bullet"/>
      <w:lvlText w:val=""/>
      <w:lvlJc w:val="left"/>
      <w:pPr>
        <w:tabs>
          <w:tab w:val="num" w:pos="2993"/>
        </w:tabs>
        <w:ind w:left="2993" w:hanging="360"/>
      </w:pPr>
      <w:rPr>
        <w:rFonts w:ascii="Symbol" w:hAnsi="Symbol" w:hint="default"/>
      </w:rPr>
    </w:lvl>
    <w:lvl w:ilvl="4" w:tplc="C7E2DE44" w:tentative="1">
      <w:start w:val="1"/>
      <w:numFmt w:val="bullet"/>
      <w:lvlText w:val="o"/>
      <w:lvlJc w:val="left"/>
      <w:pPr>
        <w:tabs>
          <w:tab w:val="num" w:pos="3713"/>
        </w:tabs>
        <w:ind w:left="3713" w:hanging="360"/>
      </w:pPr>
      <w:rPr>
        <w:rFonts w:ascii="Courier New" w:hAnsi="Courier New" w:hint="default"/>
      </w:rPr>
    </w:lvl>
    <w:lvl w:ilvl="5" w:tplc="64489BC4" w:tentative="1">
      <w:start w:val="1"/>
      <w:numFmt w:val="bullet"/>
      <w:lvlText w:val=""/>
      <w:lvlJc w:val="left"/>
      <w:pPr>
        <w:tabs>
          <w:tab w:val="num" w:pos="4433"/>
        </w:tabs>
        <w:ind w:left="4433" w:hanging="360"/>
      </w:pPr>
      <w:rPr>
        <w:rFonts w:ascii="Wingdings" w:hAnsi="Wingdings" w:hint="default"/>
      </w:rPr>
    </w:lvl>
    <w:lvl w:ilvl="6" w:tplc="33B4CCDC" w:tentative="1">
      <w:start w:val="1"/>
      <w:numFmt w:val="bullet"/>
      <w:lvlText w:val=""/>
      <w:lvlJc w:val="left"/>
      <w:pPr>
        <w:tabs>
          <w:tab w:val="num" w:pos="5153"/>
        </w:tabs>
        <w:ind w:left="5153" w:hanging="360"/>
      </w:pPr>
      <w:rPr>
        <w:rFonts w:ascii="Symbol" w:hAnsi="Symbol" w:hint="default"/>
      </w:rPr>
    </w:lvl>
    <w:lvl w:ilvl="7" w:tplc="92762556" w:tentative="1">
      <w:start w:val="1"/>
      <w:numFmt w:val="bullet"/>
      <w:lvlText w:val="o"/>
      <w:lvlJc w:val="left"/>
      <w:pPr>
        <w:tabs>
          <w:tab w:val="num" w:pos="5873"/>
        </w:tabs>
        <w:ind w:left="5873" w:hanging="360"/>
      </w:pPr>
      <w:rPr>
        <w:rFonts w:ascii="Courier New" w:hAnsi="Courier New" w:hint="default"/>
      </w:rPr>
    </w:lvl>
    <w:lvl w:ilvl="8" w:tplc="CA7EC428" w:tentative="1">
      <w:start w:val="1"/>
      <w:numFmt w:val="bullet"/>
      <w:lvlText w:val=""/>
      <w:lvlJc w:val="left"/>
      <w:pPr>
        <w:tabs>
          <w:tab w:val="num" w:pos="6593"/>
        </w:tabs>
        <w:ind w:left="6593" w:hanging="360"/>
      </w:pPr>
      <w:rPr>
        <w:rFonts w:ascii="Wingdings" w:hAnsi="Wingdings" w:hint="default"/>
      </w:rPr>
    </w:lvl>
  </w:abstractNum>
  <w:abstractNum w:abstractNumId="102">
    <w:nsid w:val="7CCB4EA3"/>
    <w:multiLevelType w:val="hybridMultilevel"/>
    <w:tmpl w:val="21AC24FC"/>
    <w:lvl w:ilvl="0" w:tplc="1768708E">
      <w:start w:val="1"/>
      <w:numFmt w:val="bullet"/>
      <w:lvlText w:val=""/>
      <w:lvlJc w:val="left"/>
      <w:pPr>
        <w:tabs>
          <w:tab w:val="num" w:pos="284"/>
        </w:tabs>
        <w:ind w:left="284" w:hanging="171"/>
      </w:pPr>
      <w:rPr>
        <w:rFonts w:ascii="Symbol" w:hAnsi="Symbol" w:hint="default"/>
      </w:rPr>
    </w:lvl>
    <w:lvl w:ilvl="1" w:tplc="08090003">
      <w:start w:val="1"/>
      <w:numFmt w:val="bullet"/>
      <w:lvlText w:val="-"/>
      <w:lvlJc w:val="left"/>
      <w:pPr>
        <w:tabs>
          <w:tab w:val="num" w:pos="397"/>
        </w:tabs>
        <w:ind w:left="397" w:hanging="113"/>
      </w:pPr>
      <w:rPr>
        <w:rFonts w:ascii="Courier New" w:hAnsi="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103">
    <w:nsid w:val="7D2B2792"/>
    <w:multiLevelType w:val="hybridMultilevel"/>
    <w:tmpl w:val="8758B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7D66014B"/>
    <w:multiLevelType w:val="hybridMultilevel"/>
    <w:tmpl w:val="043CD3D8"/>
    <w:lvl w:ilvl="0" w:tplc="A84E6988">
      <w:start w:val="1"/>
      <w:numFmt w:val="decimal"/>
      <w:lvlText w:val="%1."/>
      <w:lvlJc w:val="left"/>
      <w:pPr>
        <w:tabs>
          <w:tab w:val="num" w:pos="1080"/>
        </w:tabs>
        <w:ind w:left="1080" w:hanging="360"/>
      </w:pPr>
      <w:rPr>
        <w:rFonts w:cs="Times New Roman" w:hint="default"/>
      </w:rPr>
    </w:lvl>
    <w:lvl w:ilvl="1" w:tplc="DDF24F48" w:tentative="1">
      <w:start w:val="1"/>
      <w:numFmt w:val="lowerLetter"/>
      <w:lvlText w:val="%2."/>
      <w:lvlJc w:val="left"/>
      <w:pPr>
        <w:tabs>
          <w:tab w:val="num" w:pos="1800"/>
        </w:tabs>
        <w:ind w:left="1800" w:hanging="360"/>
      </w:pPr>
      <w:rPr>
        <w:rFonts w:cs="Times New Roman"/>
      </w:rPr>
    </w:lvl>
    <w:lvl w:ilvl="2" w:tplc="DF2C4C3C" w:tentative="1">
      <w:start w:val="1"/>
      <w:numFmt w:val="lowerRoman"/>
      <w:lvlText w:val="%3."/>
      <w:lvlJc w:val="right"/>
      <w:pPr>
        <w:tabs>
          <w:tab w:val="num" w:pos="2520"/>
        </w:tabs>
        <w:ind w:left="2520" w:hanging="180"/>
      </w:pPr>
      <w:rPr>
        <w:rFonts w:cs="Times New Roman"/>
      </w:rPr>
    </w:lvl>
    <w:lvl w:ilvl="3" w:tplc="1E5E60F8" w:tentative="1">
      <w:start w:val="1"/>
      <w:numFmt w:val="decimal"/>
      <w:lvlText w:val="%4."/>
      <w:lvlJc w:val="left"/>
      <w:pPr>
        <w:tabs>
          <w:tab w:val="num" w:pos="3240"/>
        </w:tabs>
        <w:ind w:left="3240" w:hanging="360"/>
      </w:pPr>
      <w:rPr>
        <w:rFonts w:cs="Times New Roman"/>
      </w:rPr>
    </w:lvl>
    <w:lvl w:ilvl="4" w:tplc="998E748C" w:tentative="1">
      <w:start w:val="1"/>
      <w:numFmt w:val="lowerLetter"/>
      <w:lvlText w:val="%5."/>
      <w:lvlJc w:val="left"/>
      <w:pPr>
        <w:tabs>
          <w:tab w:val="num" w:pos="3960"/>
        </w:tabs>
        <w:ind w:left="3960" w:hanging="360"/>
      </w:pPr>
      <w:rPr>
        <w:rFonts w:cs="Times New Roman"/>
      </w:rPr>
    </w:lvl>
    <w:lvl w:ilvl="5" w:tplc="8CBA5E4C" w:tentative="1">
      <w:start w:val="1"/>
      <w:numFmt w:val="lowerRoman"/>
      <w:lvlText w:val="%6."/>
      <w:lvlJc w:val="right"/>
      <w:pPr>
        <w:tabs>
          <w:tab w:val="num" w:pos="4680"/>
        </w:tabs>
        <w:ind w:left="4680" w:hanging="180"/>
      </w:pPr>
      <w:rPr>
        <w:rFonts w:cs="Times New Roman"/>
      </w:rPr>
    </w:lvl>
    <w:lvl w:ilvl="6" w:tplc="0D8E49B2" w:tentative="1">
      <w:start w:val="1"/>
      <w:numFmt w:val="decimal"/>
      <w:lvlText w:val="%7."/>
      <w:lvlJc w:val="left"/>
      <w:pPr>
        <w:tabs>
          <w:tab w:val="num" w:pos="5400"/>
        </w:tabs>
        <w:ind w:left="5400" w:hanging="360"/>
      </w:pPr>
      <w:rPr>
        <w:rFonts w:cs="Times New Roman"/>
      </w:rPr>
    </w:lvl>
    <w:lvl w:ilvl="7" w:tplc="BD842A68" w:tentative="1">
      <w:start w:val="1"/>
      <w:numFmt w:val="lowerLetter"/>
      <w:lvlText w:val="%8."/>
      <w:lvlJc w:val="left"/>
      <w:pPr>
        <w:tabs>
          <w:tab w:val="num" w:pos="6120"/>
        </w:tabs>
        <w:ind w:left="6120" w:hanging="360"/>
      </w:pPr>
      <w:rPr>
        <w:rFonts w:cs="Times New Roman"/>
      </w:rPr>
    </w:lvl>
    <w:lvl w:ilvl="8" w:tplc="3E7A29AA" w:tentative="1">
      <w:start w:val="1"/>
      <w:numFmt w:val="lowerRoman"/>
      <w:lvlText w:val="%9."/>
      <w:lvlJc w:val="right"/>
      <w:pPr>
        <w:tabs>
          <w:tab w:val="num" w:pos="6840"/>
        </w:tabs>
        <w:ind w:left="6840" w:hanging="180"/>
      </w:pPr>
      <w:rPr>
        <w:rFonts w:cs="Times New Roman"/>
      </w:rPr>
    </w:lvl>
  </w:abstractNum>
  <w:abstractNum w:abstractNumId="105">
    <w:nsid w:val="7ED15A3C"/>
    <w:multiLevelType w:val="hybridMultilevel"/>
    <w:tmpl w:val="A350BF48"/>
    <w:lvl w:ilvl="0" w:tplc="0809000F">
      <w:start w:val="1"/>
      <w:numFmt w:val="bullet"/>
      <w:lvlText w:val=""/>
      <w:lvlJc w:val="left"/>
      <w:pPr>
        <w:tabs>
          <w:tab w:val="num" w:pos="284"/>
        </w:tabs>
        <w:ind w:left="284" w:hanging="171"/>
      </w:pPr>
      <w:rPr>
        <w:rFonts w:ascii="Symbol" w:hAnsi="Symbol" w:hint="default"/>
      </w:rPr>
    </w:lvl>
    <w:lvl w:ilvl="1" w:tplc="08090019">
      <w:start w:val="1"/>
      <w:numFmt w:val="bullet"/>
      <w:lvlText w:val="-"/>
      <w:lvlJc w:val="left"/>
      <w:pPr>
        <w:tabs>
          <w:tab w:val="num" w:pos="397"/>
        </w:tabs>
        <w:ind w:left="397" w:hanging="113"/>
      </w:pPr>
      <w:rPr>
        <w:rFonts w:ascii="Courier New" w:hAnsi="Courier New" w:hint="default"/>
      </w:rPr>
    </w:lvl>
    <w:lvl w:ilvl="2" w:tplc="0809001B" w:tentative="1">
      <w:start w:val="1"/>
      <w:numFmt w:val="bullet"/>
      <w:lvlText w:val=""/>
      <w:lvlJc w:val="left"/>
      <w:pPr>
        <w:tabs>
          <w:tab w:val="num" w:pos="2273"/>
        </w:tabs>
        <w:ind w:left="2273" w:hanging="360"/>
      </w:pPr>
      <w:rPr>
        <w:rFonts w:ascii="Wingdings" w:hAnsi="Wingdings" w:hint="default"/>
      </w:rPr>
    </w:lvl>
    <w:lvl w:ilvl="3" w:tplc="0809000F" w:tentative="1">
      <w:start w:val="1"/>
      <w:numFmt w:val="bullet"/>
      <w:lvlText w:val=""/>
      <w:lvlJc w:val="left"/>
      <w:pPr>
        <w:tabs>
          <w:tab w:val="num" w:pos="2993"/>
        </w:tabs>
        <w:ind w:left="2993" w:hanging="360"/>
      </w:pPr>
      <w:rPr>
        <w:rFonts w:ascii="Symbol" w:hAnsi="Symbol" w:hint="default"/>
      </w:rPr>
    </w:lvl>
    <w:lvl w:ilvl="4" w:tplc="08090019" w:tentative="1">
      <w:start w:val="1"/>
      <w:numFmt w:val="bullet"/>
      <w:lvlText w:val="o"/>
      <w:lvlJc w:val="left"/>
      <w:pPr>
        <w:tabs>
          <w:tab w:val="num" w:pos="3713"/>
        </w:tabs>
        <w:ind w:left="3713" w:hanging="360"/>
      </w:pPr>
      <w:rPr>
        <w:rFonts w:ascii="Courier New" w:hAnsi="Courier New" w:hint="default"/>
      </w:rPr>
    </w:lvl>
    <w:lvl w:ilvl="5" w:tplc="0809001B" w:tentative="1">
      <w:start w:val="1"/>
      <w:numFmt w:val="bullet"/>
      <w:lvlText w:val=""/>
      <w:lvlJc w:val="left"/>
      <w:pPr>
        <w:tabs>
          <w:tab w:val="num" w:pos="4433"/>
        </w:tabs>
        <w:ind w:left="4433" w:hanging="360"/>
      </w:pPr>
      <w:rPr>
        <w:rFonts w:ascii="Wingdings" w:hAnsi="Wingdings" w:hint="default"/>
      </w:rPr>
    </w:lvl>
    <w:lvl w:ilvl="6" w:tplc="0809000F" w:tentative="1">
      <w:start w:val="1"/>
      <w:numFmt w:val="bullet"/>
      <w:lvlText w:val=""/>
      <w:lvlJc w:val="left"/>
      <w:pPr>
        <w:tabs>
          <w:tab w:val="num" w:pos="5153"/>
        </w:tabs>
        <w:ind w:left="5153" w:hanging="360"/>
      </w:pPr>
      <w:rPr>
        <w:rFonts w:ascii="Symbol" w:hAnsi="Symbol" w:hint="default"/>
      </w:rPr>
    </w:lvl>
    <w:lvl w:ilvl="7" w:tplc="08090019" w:tentative="1">
      <w:start w:val="1"/>
      <w:numFmt w:val="bullet"/>
      <w:lvlText w:val="o"/>
      <w:lvlJc w:val="left"/>
      <w:pPr>
        <w:tabs>
          <w:tab w:val="num" w:pos="5873"/>
        </w:tabs>
        <w:ind w:left="5873" w:hanging="360"/>
      </w:pPr>
      <w:rPr>
        <w:rFonts w:ascii="Courier New" w:hAnsi="Courier New" w:hint="default"/>
      </w:rPr>
    </w:lvl>
    <w:lvl w:ilvl="8" w:tplc="0809001B" w:tentative="1">
      <w:start w:val="1"/>
      <w:numFmt w:val="bullet"/>
      <w:lvlText w:val=""/>
      <w:lvlJc w:val="left"/>
      <w:pPr>
        <w:tabs>
          <w:tab w:val="num" w:pos="6593"/>
        </w:tabs>
        <w:ind w:left="6593" w:hanging="360"/>
      </w:pPr>
      <w:rPr>
        <w:rFonts w:ascii="Wingdings" w:hAnsi="Wingdings" w:hint="default"/>
      </w:rPr>
    </w:lvl>
  </w:abstractNum>
  <w:num w:numId="1">
    <w:abstractNumId w:val="92"/>
  </w:num>
  <w:num w:numId="2">
    <w:abstractNumId w:val="77"/>
  </w:num>
  <w:num w:numId="3">
    <w:abstractNumId w:val="76"/>
  </w:num>
  <w:num w:numId="4">
    <w:abstractNumId w:val="9"/>
  </w:num>
  <w:num w:numId="5">
    <w:abstractNumId w:val="70"/>
  </w:num>
  <w:num w:numId="6">
    <w:abstractNumId w:val="71"/>
  </w:num>
  <w:num w:numId="7">
    <w:abstractNumId w:val="4"/>
  </w:num>
  <w:num w:numId="8">
    <w:abstractNumId w:val="87"/>
  </w:num>
  <w:num w:numId="9">
    <w:abstractNumId w:val="100"/>
  </w:num>
  <w:num w:numId="10">
    <w:abstractNumId w:val="104"/>
  </w:num>
  <w:num w:numId="11">
    <w:abstractNumId w:val="89"/>
  </w:num>
  <w:num w:numId="12">
    <w:abstractNumId w:val="41"/>
  </w:num>
  <w:num w:numId="13">
    <w:abstractNumId w:val="84"/>
  </w:num>
  <w:num w:numId="14">
    <w:abstractNumId w:val="72"/>
  </w:num>
  <w:num w:numId="15">
    <w:abstractNumId w:val="105"/>
  </w:num>
  <w:num w:numId="16">
    <w:abstractNumId w:val="69"/>
  </w:num>
  <w:num w:numId="17">
    <w:abstractNumId w:val="5"/>
  </w:num>
  <w:num w:numId="18">
    <w:abstractNumId w:val="97"/>
  </w:num>
  <w:num w:numId="19">
    <w:abstractNumId w:val="67"/>
  </w:num>
  <w:num w:numId="20">
    <w:abstractNumId w:val="102"/>
  </w:num>
  <w:num w:numId="21">
    <w:abstractNumId w:val="0"/>
  </w:num>
  <w:num w:numId="22">
    <w:abstractNumId w:val="35"/>
  </w:num>
  <w:num w:numId="23">
    <w:abstractNumId w:val="15"/>
  </w:num>
  <w:num w:numId="24">
    <w:abstractNumId w:val="48"/>
  </w:num>
  <w:num w:numId="25">
    <w:abstractNumId w:val="42"/>
  </w:num>
  <w:num w:numId="26">
    <w:abstractNumId w:val="101"/>
  </w:num>
  <w:num w:numId="27">
    <w:abstractNumId w:val="37"/>
  </w:num>
  <w:num w:numId="28">
    <w:abstractNumId w:val="3"/>
  </w:num>
  <w:num w:numId="29">
    <w:abstractNumId w:val="47"/>
  </w:num>
  <w:num w:numId="30">
    <w:abstractNumId w:val="57"/>
  </w:num>
  <w:num w:numId="31">
    <w:abstractNumId w:val="6"/>
  </w:num>
  <w:num w:numId="32">
    <w:abstractNumId w:val="78"/>
  </w:num>
  <w:num w:numId="33">
    <w:abstractNumId w:val="36"/>
  </w:num>
  <w:num w:numId="34">
    <w:abstractNumId w:val="65"/>
  </w:num>
  <w:num w:numId="35">
    <w:abstractNumId w:val="61"/>
  </w:num>
  <w:num w:numId="36">
    <w:abstractNumId w:val="29"/>
  </w:num>
  <w:num w:numId="37">
    <w:abstractNumId w:val="90"/>
  </w:num>
  <w:num w:numId="38">
    <w:abstractNumId w:val="18"/>
  </w:num>
  <w:num w:numId="39">
    <w:abstractNumId w:val="59"/>
  </w:num>
  <w:num w:numId="40">
    <w:abstractNumId w:val="34"/>
  </w:num>
  <w:num w:numId="41">
    <w:abstractNumId w:val="93"/>
  </w:num>
  <w:num w:numId="42">
    <w:abstractNumId w:val="22"/>
  </w:num>
  <w:num w:numId="43">
    <w:abstractNumId w:val="25"/>
  </w:num>
  <w:num w:numId="44">
    <w:abstractNumId w:val="74"/>
  </w:num>
  <w:num w:numId="45">
    <w:abstractNumId w:val="58"/>
  </w:num>
  <w:num w:numId="46">
    <w:abstractNumId w:val="17"/>
  </w:num>
  <w:num w:numId="47">
    <w:abstractNumId w:val="44"/>
  </w:num>
  <w:num w:numId="48">
    <w:abstractNumId w:val="55"/>
  </w:num>
  <w:num w:numId="49">
    <w:abstractNumId w:val="38"/>
  </w:num>
  <w:num w:numId="50">
    <w:abstractNumId w:val="99"/>
  </w:num>
  <w:num w:numId="51">
    <w:abstractNumId w:val="30"/>
  </w:num>
  <w:num w:numId="52">
    <w:abstractNumId w:val="39"/>
  </w:num>
  <w:num w:numId="53">
    <w:abstractNumId w:val="53"/>
  </w:num>
  <w:num w:numId="54">
    <w:abstractNumId w:val="21"/>
  </w:num>
  <w:num w:numId="55">
    <w:abstractNumId w:val="24"/>
  </w:num>
  <w:num w:numId="56">
    <w:abstractNumId w:val="20"/>
  </w:num>
  <w:num w:numId="57">
    <w:abstractNumId w:val="82"/>
  </w:num>
  <w:num w:numId="58">
    <w:abstractNumId w:val="79"/>
  </w:num>
  <w:num w:numId="59">
    <w:abstractNumId w:val="50"/>
  </w:num>
  <w:num w:numId="60">
    <w:abstractNumId w:val="1"/>
  </w:num>
  <w:num w:numId="61">
    <w:abstractNumId w:val="54"/>
  </w:num>
  <w:num w:numId="62">
    <w:abstractNumId w:val="2"/>
  </w:num>
  <w:num w:numId="63">
    <w:abstractNumId w:val="51"/>
  </w:num>
  <w:num w:numId="64">
    <w:abstractNumId w:val="31"/>
  </w:num>
  <w:num w:numId="65">
    <w:abstractNumId w:val="7"/>
  </w:num>
  <w:num w:numId="66">
    <w:abstractNumId w:val="66"/>
  </w:num>
  <w:num w:numId="67">
    <w:abstractNumId w:val="46"/>
  </w:num>
  <w:num w:numId="68">
    <w:abstractNumId w:val="14"/>
  </w:num>
  <w:num w:numId="69">
    <w:abstractNumId w:val="94"/>
  </w:num>
  <w:num w:numId="70">
    <w:abstractNumId w:val="85"/>
  </w:num>
  <w:num w:numId="71">
    <w:abstractNumId w:val="92"/>
    <w:lvlOverride w:ilvl="0">
      <w:startOverride w:val="3"/>
    </w:lvlOverride>
    <w:lvlOverride w:ilvl="1">
      <w:startOverride w:val="3"/>
    </w:lvlOverride>
    <w:lvlOverride w:ilvl="2">
      <w:startOverride w:val="17"/>
    </w:lvlOverride>
  </w:num>
  <w:num w:numId="72">
    <w:abstractNumId w:val="92"/>
    <w:lvlOverride w:ilvl="0">
      <w:startOverride w:val="3"/>
    </w:lvlOverride>
    <w:lvlOverride w:ilvl="1">
      <w:startOverride w:val="3"/>
    </w:lvlOverride>
    <w:lvlOverride w:ilvl="2">
      <w:startOverride w:val="19"/>
    </w:lvlOverride>
  </w:num>
  <w:num w:numId="73">
    <w:abstractNumId w:val="92"/>
    <w:lvlOverride w:ilvl="0">
      <w:startOverride w:val="3"/>
    </w:lvlOverride>
    <w:lvlOverride w:ilvl="1">
      <w:startOverride w:val="3"/>
    </w:lvlOverride>
    <w:lvlOverride w:ilvl="2">
      <w:startOverride w:val="23"/>
    </w:lvlOverride>
  </w:num>
  <w:num w:numId="74">
    <w:abstractNumId w:val="92"/>
    <w:lvlOverride w:ilvl="0">
      <w:startOverride w:val="3"/>
    </w:lvlOverride>
    <w:lvlOverride w:ilvl="1">
      <w:startOverride w:val="5"/>
    </w:lvlOverride>
    <w:lvlOverride w:ilvl="2">
      <w:startOverride w:val="6"/>
    </w:lvlOverride>
  </w:num>
  <w:num w:numId="75">
    <w:abstractNumId w:val="33"/>
  </w:num>
  <w:num w:numId="76">
    <w:abstractNumId w:val="23"/>
  </w:num>
  <w:num w:numId="77">
    <w:abstractNumId w:val="10"/>
  </w:num>
  <w:num w:numId="78">
    <w:abstractNumId w:val="96"/>
  </w:num>
  <w:num w:numId="7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2"/>
  </w:num>
  <w:num w:numId="81">
    <w:abstractNumId w:val="56"/>
  </w:num>
  <w:num w:numId="82">
    <w:abstractNumId w:val="27"/>
  </w:num>
  <w:num w:numId="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2"/>
  </w:num>
  <w:num w:numId="85">
    <w:abstractNumId w:val="92"/>
    <w:lvlOverride w:ilvl="0">
      <w:startOverride w:val="3"/>
    </w:lvlOverride>
    <w:lvlOverride w:ilvl="1">
      <w:startOverride w:val="4"/>
    </w:lvlOverride>
    <w:lvlOverride w:ilvl="2">
      <w:startOverride w:val="3"/>
    </w:lvlOverride>
  </w:num>
  <w:num w:numId="86">
    <w:abstractNumId w:val="92"/>
    <w:lvlOverride w:ilvl="0">
      <w:startOverride w:val="1"/>
    </w:lvlOverride>
  </w:num>
  <w:num w:numId="87">
    <w:abstractNumId w:val="63"/>
  </w:num>
  <w:num w:numId="88">
    <w:abstractNumId w:val="80"/>
  </w:num>
  <w:num w:numId="89">
    <w:abstractNumId w:val="92"/>
    <w:lvlOverride w:ilvl="0">
      <w:startOverride w:val="3"/>
    </w:lvlOverride>
    <w:lvlOverride w:ilvl="1">
      <w:startOverride w:val="2"/>
    </w:lvlOverride>
    <w:lvlOverride w:ilvl="2">
      <w:startOverride w:val="1"/>
    </w:lvlOverride>
  </w:num>
  <w:num w:numId="90">
    <w:abstractNumId w:val="92"/>
    <w:lvlOverride w:ilvl="0">
      <w:startOverride w:val="3"/>
    </w:lvlOverride>
    <w:lvlOverride w:ilvl="1">
      <w:startOverride w:val="2"/>
    </w:lvlOverride>
    <w:lvlOverride w:ilvl="2">
      <w:startOverride w:val="1"/>
    </w:lvlOverride>
  </w:num>
  <w:num w:numId="91">
    <w:abstractNumId w:val="92"/>
    <w:lvlOverride w:ilvl="0">
      <w:startOverride w:val="3"/>
    </w:lvlOverride>
    <w:lvlOverride w:ilvl="1">
      <w:startOverride w:val="2"/>
    </w:lvlOverride>
    <w:lvlOverride w:ilvl="2">
      <w:startOverride w:val="1"/>
    </w:lvlOverride>
  </w:num>
  <w:num w:numId="92">
    <w:abstractNumId w:val="92"/>
    <w:lvlOverride w:ilvl="0">
      <w:startOverride w:val="3"/>
    </w:lvlOverride>
    <w:lvlOverride w:ilvl="1">
      <w:startOverride w:val="2"/>
    </w:lvlOverride>
    <w:lvlOverride w:ilvl="2">
      <w:startOverride w:val="1"/>
    </w:lvlOverride>
  </w:num>
  <w:num w:numId="9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7"/>
  </w:num>
  <w:num w:numId="95">
    <w:abstractNumId w:val="37"/>
  </w:num>
  <w:num w:numId="96">
    <w:abstractNumId w:val="37"/>
  </w:num>
  <w:num w:numId="97">
    <w:abstractNumId w:val="37"/>
  </w:num>
  <w:num w:numId="9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2"/>
    <w:lvlOverride w:ilvl="0">
      <w:startOverride w:val="3"/>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0"/>
  </w:num>
  <w:num w:numId="101">
    <w:abstractNumId w:val="98"/>
  </w:num>
  <w:num w:numId="102">
    <w:abstractNumId w:val="68"/>
  </w:num>
  <w:num w:numId="103">
    <w:abstractNumId w:val="13"/>
  </w:num>
  <w:num w:numId="104">
    <w:abstractNumId w:val="16"/>
  </w:num>
  <w:num w:numId="105">
    <w:abstractNumId w:val="60"/>
  </w:num>
  <w:num w:numId="106">
    <w:abstractNumId w:val="83"/>
  </w:num>
  <w:num w:numId="107">
    <w:abstractNumId w:val="62"/>
  </w:num>
  <w:num w:numId="108">
    <w:abstractNumId w:val="73"/>
  </w:num>
  <w:num w:numId="109">
    <w:abstractNumId w:val="19"/>
  </w:num>
  <w:num w:numId="110">
    <w:abstractNumId w:val="64"/>
  </w:num>
  <w:num w:numId="111">
    <w:abstractNumId w:val="12"/>
  </w:num>
  <w:num w:numId="112">
    <w:abstractNumId w:val="28"/>
  </w:num>
  <w:num w:numId="113">
    <w:abstractNumId w:val="81"/>
  </w:num>
  <w:num w:numId="114">
    <w:abstractNumId w:val="45"/>
  </w:num>
  <w:num w:numId="115">
    <w:abstractNumId w:val="43"/>
  </w:num>
  <w:num w:numId="116">
    <w:abstractNumId w:val="8"/>
  </w:num>
  <w:num w:numId="117">
    <w:abstractNumId w:val="49"/>
  </w:num>
  <w:num w:numId="118">
    <w:abstractNumId w:val="11"/>
  </w:num>
  <w:num w:numId="119">
    <w:abstractNumId w:val="91"/>
  </w:num>
  <w:num w:numId="120">
    <w:abstractNumId w:val="32"/>
  </w:num>
  <w:num w:numId="121">
    <w:abstractNumId w:val="86"/>
  </w:num>
  <w:num w:numId="122">
    <w:abstractNumId w:val="52"/>
  </w:num>
  <w:num w:numId="123">
    <w:abstractNumId w:val="103"/>
  </w:num>
  <w:num w:numId="124">
    <w:abstractNumId w:val="95"/>
  </w:num>
  <w:num w:numId="125">
    <w:abstractNumId w:val="26"/>
  </w:num>
  <w:num w:numId="126">
    <w:abstractNumId w:val="75"/>
  </w:num>
  <w:num w:numId="127">
    <w:abstractNumId w:val="92"/>
  </w:num>
  <w:num w:numId="128">
    <w:abstractNumId w:val="92"/>
  </w:num>
  <w:num w:numId="129">
    <w:abstractNumId w:val="92"/>
  </w:num>
  <w:num w:numId="130">
    <w:abstractNumId w:val="92"/>
  </w:num>
  <w:num w:numId="131">
    <w:abstractNumId w:val="92"/>
  </w:num>
  <w:num w:numId="132">
    <w:abstractNumId w:val="92"/>
  </w:num>
  <w:num w:numId="133">
    <w:abstractNumId w:val="9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3"/>
  <w:drawingGridVerticalSpacing w:val="113"/>
  <w:displayHorizontalDrawingGridEvery w:val="0"/>
  <w:displayVerticalDrawingGridEvery w:val="0"/>
  <w:doNotUseMarginsForDrawingGridOrigin/>
  <w:drawingGridVerticalOrigin w:val="198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326"/>
    <w:rsid w:val="0000086F"/>
    <w:rsid w:val="00000A16"/>
    <w:rsid w:val="00001A59"/>
    <w:rsid w:val="00002134"/>
    <w:rsid w:val="00002C03"/>
    <w:rsid w:val="00003343"/>
    <w:rsid w:val="000035AA"/>
    <w:rsid w:val="00004223"/>
    <w:rsid w:val="00004E04"/>
    <w:rsid w:val="00006500"/>
    <w:rsid w:val="000065AB"/>
    <w:rsid w:val="00006A7C"/>
    <w:rsid w:val="00010247"/>
    <w:rsid w:val="00010AB1"/>
    <w:rsid w:val="00010B82"/>
    <w:rsid w:val="000112B8"/>
    <w:rsid w:val="000115A1"/>
    <w:rsid w:val="00011EEE"/>
    <w:rsid w:val="00012CE8"/>
    <w:rsid w:val="000130F2"/>
    <w:rsid w:val="000131EB"/>
    <w:rsid w:val="000132F4"/>
    <w:rsid w:val="00013502"/>
    <w:rsid w:val="00013B8D"/>
    <w:rsid w:val="00014758"/>
    <w:rsid w:val="00015131"/>
    <w:rsid w:val="000151D9"/>
    <w:rsid w:val="0001608F"/>
    <w:rsid w:val="000160FA"/>
    <w:rsid w:val="00016A24"/>
    <w:rsid w:val="00016D29"/>
    <w:rsid w:val="00020734"/>
    <w:rsid w:val="0002200D"/>
    <w:rsid w:val="000223FF"/>
    <w:rsid w:val="0002439B"/>
    <w:rsid w:val="00024D73"/>
    <w:rsid w:val="0002651A"/>
    <w:rsid w:val="00026950"/>
    <w:rsid w:val="00030476"/>
    <w:rsid w:val="000306B5"/>
    <w:rsid w:val="0003168C"/>
    <w:rsid w:val="00035917"/>
    <w:rsid w:val="00035982"/>
    <w:rsid w:val="000359D0"/>
    <w:rsid w:val="0003678E"/>
    <w:rsid w:val="00037255"/>
    <w:rsid w:val="00037C7C"/>
    <w:rsid w:val="000404FE"/>
    <w:rsid w:val="00040B9F"/>
    <w:rsid w:val="00041224"/>
    <w:rsid w:val="00041DEA"/>
    <w:rsid w:val="00041EFB"/>
    <w:rsid w:val="00042C4A"/>
    <w:rsid w:val="0004351B"/>
    <w:rsid w:val="00045117"/>
    <w:rsid w:val="00051676"/>
    <w:rsid w:val="00051BC1"/>
    <w:rsid w:val="00052289"/>
    <w:rsid w:val="0005262F"/>
    <w:rsid w:val="00052792"/>
    <w:rsid w:val="00053204"/>
    <w:rsid w:val="00053211"/>
    <w:rsid w:val="00053FA6"/>
    <w:rsid w:val="000542F1"/>
    <w:rsid w:val="000553F5"/>
    <w:rsid w:val="00056F8F"/>
    <w:rsid w:val="000600F0"/>
    <w:rsid w:val="00060A4E"/>
    <w:rsid w:val="00061CC3"/>
    <w:rsid w:val="00062095"/>
    <w:rsid w:val="000630AF"/>
    <w:rsid w:val="00064417"/>
    <w:rsid w:val="0006465E"/>
    <w:rsid w:val="00066904"/>
    <w:rsid w:val="00066C20"/>
    <w:rsid w:val="00067AB0"/>
    <w:rsid w:val="00067B5E"/>
    <w:rsid w:val="00067C21"/>
    <w:rsid w:val="00067F57"/>
    <w:rsid w:val="0007086B"/>
    <w:rsid w:val="00070A3B"/>
    <w:rsid w:val="00071421"/>
    <w:rsid w:val="00071946"/>
    <w:rsid w:val="00071ADD"/>
    <w:rsid w:val="00071E6B"/>
    <w:rsid w:val="000722C6"/>
    <w:rsid w:val="00072FF4"/>
    <w:rsid w:val="00073FF3"/>
    <w:rsid w:val="00075842"/>
    <w:rsid w:val="00076004"/>
    <w:rsid w:val="00076903"/>
    <w:rsid w:val="00076C8E"/>
    <w:rsid w:val="000775C9"/>
    <w:rsid w:val="000776F1"/>
    <w:rsid w:val="000805A8"/>
    <w:rsid w:val="00080DDD"/>
    <w:rsid w:val="00082EF9"/>
    <w:rsid w:val="00083089"/>
    <w:rsid w:val="00083473"/>
    <w:rsid w:val="000834FD"/>
    <w:rsid w:val="00083AA5"/>
    <w:rsid w:val="00083E27"/>
    <w:rsid w:val="00085579"/>
    <w:rsid w:val="000861CA"/>
    <w:rsid w:val="00090797"/>
    <w:rsid w:val="00090DFD"/>
    <w:rsid w:val="000930EC"/>
    <w:rsid w:val="00093459"/>
    <w:rsid w:val="00094BAD"/>
    <w:rsid w:val="00094E08"/>
    <w:rsid w:val="000951F5"/>
    <w:rsid w:val="00095612"/>
    <w:rsid w:val="00096396"/>
    <w:rsid w:val="000975C2"/>
    <w:rsid w:val="000A048D"/>
    <w:rsid w:val="000A06F6"/>
    <w:rsid w:val="000A2FEF"/>
    <w:rsid w:val="000A32B1"/>
    <w:rsid w:val="000A4060"/>
    <w:rsid w:val="000A4A57"/>
    <w:rsid w:val="000A50A4"/>
    <w:rsid w:val="000A5974"/>
    <w:rsid w:val="000A5F49"/>
    <w:rsid w:val="000B0350"/>
    <w:rsid w:val="000B15A2"/>
    <w:rsid w:val="000B1D02"/>
    <w:rsid w:val="000B1E79"/>
    <w:rsid w:val="000B28FB"/>
    <w:rsid w:val="000B2C6A"/>
    <w:rsid w:val="000B2D84"/>
    <w:rsid w:val="000B5939"/>
    <w:rsid w:val="000B5A09"/>
    <w:rsid w:val="000B6008"/>
    <w:rsid w:val="000B6C61"/>
    <w:rsid w:val="000B788E"/>
    <w:rsid w:val="000C04BF"/>
    <w:rsid w:val="000C050C"/>
    <w:rsid w:val="000C0E21"/>
    <w:rsid w:val="000C2060"/>
    <w:rsid w:val="000C3779"/>
    <w:rsid w:val="000C5554"/>
    <w:rsid w:val="000C64F8"/>
    <w:rsid w:val="000C7D36"/>
    <w:rsid w:val="000D0C1D"/>
    <w:rsid w:val="000D1C7C"/>
    <w:rsid w:val="000D2232"/>
    <w:rsid w:val="000D2AB2"/>
    <w:rsid w:val="000D3347"/>
    <w:rsid w:val="000D4600"/>
    <w:rsid w:val="000D489A"/>
    <w:rsid w:val="000D64DA"/>
    <w:rsid w:val="000D6FBD"/>
    <w:rsid w:val="000E019F"/>
    <w:rsid w:val="000E01D1"/>
    <w:rsid w:val="000E11FE"/>
    <w:rsid w:val="000E187E"/>
    <w:rsid w:val="000E350D"/>
    <w:rsid w:val="000E3E96"/>
    <w:rsid w:val="000E423E"/>
    <w:rsid w:val="000E4330"/>
    <w:rsid w:val="000E4635"/>
    <w:rsid w:val="000E5224"/>
    <w:rsid w:val="000E68BC"/>
    <w:rsid w:val="000E6E18"/>
    <w:rsid w:val="000F2098"/>
    <w:rsid w:val="000F4AD5"/>
    <w:rsid w:val="000F6932"/>
    <w:rsid w:val="000F7367"/>
    <w:rsid w:val="000F75C5"/>
    <w:rsid w:val="000F7E0E"/>
    <w:rsid w:val="000F7FB5"/>
    <w:rsid w:val="000F7FB7"/>
    <w:rsid w:val="00100517"/>
    <w:rsid w:val="0010073A"/>
    <w:rsid w:val="0010143D"/>
    <w:rsid w:val="00102892"/>
    <w:rsid w:val="001037FB"/>
    <w:rsid w:val="00103F11"/>
    <w:rsid w:val="00104A25"/>
    <w:rsid w:val="0010556F"/>
    <w:rsid w:val="00105B30"/>
    <w:rsid w:val="0010625D"/>
    <w:rsid w:val="00106604"/>
    <w:rsid w:val="001067B8"/>
    <w:rsid w:val="00107B7B"/>
    <w:rsid w:val="0011032B"/>
    <w:rsid w:val="00110B3A"/>
    <w:rsid w:val="00113433"/>
    <w:rsid w:val="001142E9"/>
    <w:rsid w:val="00116DB4"/>
    <w:rsid w:val="00117C23"/>
    <w:rsid w:val="00121F63"/>
    <w:rsid w:val="00124A1C"/>
    <w:rsid w:val="00124A84"/>
    <w:rsid w:val="00124DD6"/>
    <w:rsid w:val="0012595A"/>
    <w:rsid w:val="00125AFB"/>
    <w:rsid w:val="0012620F"/>
    <w:rsid w:val="0012624E"/>
    <w:rsid w:val="00127336"/>
    <w:rsid w:val="001279D6"/>
    <w:rsid w:val="00130182"/>
    <w:rsid w:val="00130BAB"/>
    <w:rsid w:val="001333FA"/>
    <w:rsid w:val="00133730"/>
    <w:rsid w:val="00134F16"/>
    <w:rsid w:val="00135431"/>
    <w:rsid w:val="00135872"/>
    <w:rsid w:val="00135D15"/>
    <w:rsid w:val="0013600E"/>
    <w:rsid w:val="00136233"/>
    <w:rsid w:val="0013692B"/>
    <w:rsid w:val="00136E4E"/>
    <w:rsid w:val="00140143"/>
    <w:rsid w:val="001405D2"/>
    <w:rsid w:val="00140D38"/>
    <w:rsid w:val="001413DE"/>
    <w:rsid w:val="00141A46"/>
    <w:rsid w:val="00141A50"/>
    <w:rsid w:val="00141C18"/>
    <w:rsid w:val="00143AB9"/>
    <w:rsid w:val="001441F7"/>
    <w:rsid w:val="00144EAB"/>
    <w:rsid w:val="00146870"/>
    <w:rsid w:val="00146A51"/>
    <w:rsid w:val="00146FBC"/>
    <w:rsid w:val="001502EA"/>
    <w:rsid w:val="00153D7A"/>
    <w:rsid w:val="001545E5"/>
    <w:rsid w:val="00155CEC"/>
    <w:rsid w:val="00156836"/>
    <w:rsid w:val="00156F24"/>
    <w:rsid w:val="0015774D"/>
    <w:rsid w:val="001577B0"/>
    <w:rsid w:val="00157914"/>
    <w:rsid w:val="00157EF4"/>
    <w:rsid w:val="00160398"/>
    <w:rsid w:val="00160B15"/>
    <w:rsid w:val="00160CC8"/>
    <w:rsid w:val="00161647"/>
    <w:rsid w:val="0016247F"/>
    <w:rsid w:val="00163AFE"/>
    <w:rsid w:val="00167741"/>
    <w:rsid w:val="001677A6"/>
    <w:rsid w:val="00167D46"/>
    <w:rsid w:val="00170979"/>
    <w:rsid w:val="0017097F"/>
    <w:rsid w:val="00171B80"/>
    <w:rsid w:val="00172D0B"/>
    <w:rsid w:val="0017336B"/>
    <w:rsid w:val="00173D91"/>
    <w:rsid w:val="00177906"/>
    <w:rsid w:val="00180A63"/>
    <w:rsid w:val="001819DC"/>
    <w:rsid w:val="0018220A"/>
    <w:rsid w:val="00182601"/>
    <w:rsid w:val="00182DFB"/>
    <w:rsid w:val="00182E54"/>
    <w:rsid w:val="00182E58"/>
    <w:rsid w:val="00183966"/>
    <w:rsid w:val="00183B49"/>
    <w:rsid w:val="001845C0"/>
    <w:rsid w:val="00185260"/>
    <w:rsid w:val="00187A63"/>
    <w:rsid w:val="00187D4D"/>
    <w:rsid w:val="00187D61"/>
    <w:rsid w:val="00187E12"/>
    <w:rsid w:val="00191CA5"/>
    <w:rsid w:val="001962D7"/>
    <w:rsid w:val="001965A8"/>
    <w:rsid w:val="00196F43"/>
    <w:rsid w:val="00196FA9"/>
    <w:rsid w:val="0019723C"/>
    <w:rsid w:val="001979F7"/>
    <w:rsid w:val="001A004B"/>
    <w:rsid w:val="001A17BF"/>
    <w:rsid w:val="001A2080"/>
    <w:rsid w:val="001A3C3F"/>
    <w:rsid w:val="001A562C"/>
    <w:rsid w:val="001A6B1E"/>
    <w:rsid w:val="001B114B"/>
    <w:rsid w:val="001B2746"/>
    <w:rsid w:val="001B356A"/>
    <w:rsid w:val="001B4097"/>
    <w:rsid w:val="001B4681"/>
    <w:rsid w:val="001B5278"/>
    <w:rsid w:val="001B5EDC"/>
    <w:rsid w:val="001B62EB"/>
    <w:rsid w:val="001B7DD6"/>
    <w:rsid w:val="001C18A2"/>
    <w:rsid w:val="001C1D89"/>
    <w:rsid w:val="001C3260"/>
    <w:rsid w:val="001C3C57"/>
    <w:rsid w:val="001C6076"/>
    <w:rsid w:val="001C65BB"/>
    <w:rsid w:val="001C7064"/>
    <w:rsid w:val="001D1BD7"/>
    <w:rsid w:val="001D1DA3"/>
    <w:rsid w:val="001D1EBE"/>
    <w:rsid w:val="001D4DB5"/>
    <w:rsid w:val="001D4FBB"/>
    <w:rsid w:val="001D51BF"/>
    <w:rsid w:val="001D7998"/>
    <w:rsid w:val="001D7C89"/>
    <w:rsid w:val="001E1650"/>
    <w:rsid w:val="001E1BBE"/>
    <w:rsid w:val="001E1CA2"/>
    <w:rsid w:val="001E214F"/>
    <w:rsid w:val="001E3029"/>
    <w:rsid w:val="001E3695"/>
    <w:rsid w:val="001E4A6D"/>
    <w:rsid w:val="001E6D82"/>
    <w:rsid w:val="001E7924"/>
    <w:rsid w:val="001F07FC"/>
    <w:rsid w:val="001F0BB9"/>
    <w:rsid w:val="001F1758"/>
    <w:rsid w:val="001F1EE3"/>
    <w:rsid w:val="001F2DBA"/>
    <w:rsid w:val="001F3012"/>
    <w:rsid w:val="001F306A"/>
    <w:rsid w:val="001F3709"/>
    <w:rsid w:val="001F4B4B"/>
    <w:rsid w:val="001F51EA"/>
    <w:rsid w:val="001F6492"/>
    <w:rsid w:val="001F74AE"/>
    <w:rsid w:val="001F7D29"/>
    <w:rsid w:val="00200106"/>
    <w:rsid w:val="00201582"/>
    <w:rsid w:val="002016C7"/>
    <w:rsid w:val="002055BA"/>
    <w:rsid w:val="00206893"/>
    <w:rsid w:val="0020717B"/>
    <w:rsid w:val="002073EA"/>
    <w:rsid w:val="00210203"/>
    <w:rsid w:val="00210D28"/>
    <w:rsid w:val="00211168"/>
    <w:rsid w:val="002111BB"/>
    <w:rsid w:val="00211AF9"/>
    <w:rsid w:val="00212020"/>
    <w:rsid w:val="00212224"/>
    <w:rsid w:val="0021228C"/>
    <w:rsid w:val="002124FA"/>
    <w:rsid w:val="00212592"/>
    <w:rsid w:val="00212FDC"/>
    <w:rsid w:val="0021305E"/>
    <w:rsid w:val="00213EB8"/>
    <w:rsid w:val="00214B83"/>
    <w:rsid w:val="00216226"/>
    <w:rsid w:val="00216616"/>
    <w:rsid w:val="00216B00"/>
    <w:rsid w:val="002175AB"/>
    <w:rsid w:val="00217D13"/>
    <w:rsid w:val="00220030"/>
    <w:rsid w:val="0022069C"/>
    <w:rsid w:val="00221DF3"/>
    <w:rsid w:val="002223B1"/>
    <w:rsid w:val="00222ABA"/>
    <w:rsid w:val="00224012"/>
    <w:rsid w:val="00225BB8"/>
    <w:rsid w:val="0022609A"/>
    <w:rsid w:val="002267BA"/>
    <w:rsid w:val="002268B0"/>
    <w:rsid w:val="0023051F"/>
    <w:rsid w:val="00230A66"/>
    <w:rsid w:val="00230F2B"/>
    <w:rsid w:val="00231243"/>
    <w:rsid w:val="00232460"/>
    <w:rsid w:val="002328AB"/>
    <w:rsid w:val="00233036"/>
    <w:rsid w:val="002338C5"/>
    <w:rsid w:val="00233FC1"/>
    <w:rsid w:val="0023483D"/>
    <w:rsid w:val="00235919"/>
    <w:rsid w:val="00235D22"/>
    <w:rsid w:val="00236961"/>
    <w:rsid w:val="002371D9"/>
    <w:rsid w:val="00237F80"/>
    <w:rsid w:val="002403F4"/>
    <w:rsid w:val="00241117"/>
    <w:rsid w:val="00245D3F"/>
    <w:rsid w:val="002464F7"/>
    <w:rsid w:val="00246626"/>
    <w:rsid w:val="0024766C"/>
    <w:rsid w:val="00247FBF"/>
    <w:rsid w:val="002521E0"/>
    <w:rsid w:val="00253C37"/>
    <w:rsid w:val="002550C5"/>
    <w:rsid w:val="0025576F"/>
    <w:rsid w:val="00255A47"/>
    <w:rsid w:val="00255AED"/>
    <w:rsid w:val="00257C90"/>
    <w:rsid w:val="00260894"/>
    <w:rsid w:val="00260CBF"/>
    <w:rsid w:val="00261A21"/>
    <w:rsid w:val="002622EE"/>
    <w:rsid w:val="00262B7A"/>
    <w:rsid w:val="0026397A"/>
    <w:rsid w:val="00263B21"/>
    <w:rsid w:val="00264418"/>
    <w:rsid w:val="002650ED"/>
    <w:rsid w:val="00266772"/>
    <w:rsid w:val="00266895"/>
    <w:rsid w:val="00266E3A"/>
    <w:rsid w:val="00267119"/>
    <w:rsid w:val="00267352"/>
    <w:rsid w:val="0026738C"/>
    <w:rsid w:val="00270DD3"/>
    <w:rsid w:val="00270E19"/>
    <w:rsid w:val="002717BD"/>
    <w:rsid w:val="00271BC7"/>
    <w:rsid w:val="00272F6B"/>
    <w:rsid w:val="00273AFA"/>
    <w:rsid w:val="00274277"/>
    <w:rsid w:val="002750CD"/>
    <w:rsid w:val="0027540A"/>
    <w:rsid w:val="00275A36"/>
    <w:rsid w:val="00275D78"/>
    <w:rsid w:val="00275F2D"/>
    <w:rsid w:val="00276471"/>
    <w:rsid w:val="0027727F"/>
    <w:rsid w:val="00277D15"/>
    <w:rsid w:val="002809D8"/>
    <w:rsid w:val="00281C6C"/>
    <w:rsid w:val="00282281"/>
    <w:rsid w:val="0028363E"/>
    <w:rsid w:val="00283F82"/>
    <w:rsid w:val="002845D3"/>
    <w:rsid w:val="00284AEA"/>
    <w:rsid w:val="002870A0"/>
    <w:rsid w:val="0028762C"/>
    <w:rsid w:val="0028778C"/>
    <w:rsid w:val="00290496"/>
    <w:rsid w:val="00290DD4"/>
    <w:rsid w:val="0029141D"/>
    <w:rsid w:val="00292459"/>
    <w:rsid w:val="002927BE"/>
    <w:rsid w:val="00293F55"/>
    <w:rsid w:val="002945D8"/>
    <w:rsid w:val="00294C9A"/>
    <w:rsid w:val="002967AC"/>
    <w:rsid w:val="00297D03"/>
    <w:rsid w:val="002A0406"/>
    <w:rsid w:val="002A18CD"/>
    <w:rsid w:val="002A2028"/>
    <w:rsid w:val="002A2763"/>
    <w:rsid w:val="002A294D"/>
    <w:rsid w:val="002A3854"/>
    <w:rsid w:val="002A4E85"/>
    <w:rsid w:val="002A63AD"/>
    <w:rsid w:val="002A6A99"/>
    <w:rsid w:val="002A6D64"/>
    <w:rsid w:val="002A738E"/>
    <w:rsid w:val="002A7708"/>
    <w:rsid w:val="002B0764"/>
    <w:rsid w:val="002B0D41"/>
    <w:rsid w:val="002B0E72"/>
    <w:rsid w:val="002B4057"/>
    <w:rsid w:val="002B48AD"/>
    <w:rsid w:val="002B4F3E"/>
    <w:rsid w:val="002B61B1"/>
    <w:rsid w:val="002B738F"/>
    <w:rsid w:val="002B7618"/>
    <w:rsid w:val="002C0FEC"/>
    <w:rsid w:val="002C242B"/>
    <w:rsid w:val="002C2E44"/>
    <w:rsid w:val="002C437A"/>
    <w:rsid w:val="002C5260"/>
    <w:rsid w:val="002C5577"/>
    <w:rsid w:val="002C5C74"/>
    <w:rsid w:val="002C6436"/>
    <w:rsid w:val="002C64A0"/>
    <w:rsid w:val="002D1CD9"/>
    <w:rsid w:val="002D224E"/>
    <w:rsid w:val="002D33F2"/>
    <w:rsid w:val="002D3E8F"/>
    <w:rsid w:val="002D44B7"/>
    <w:rsid w:val="002D472F"/>
    <w:rsid w:val="002D5B09"/>
    <w:rsid w:val="002D7456"/>
    <w:rsid w:val="002D780A"/>
    <w:rsid w:val="002D7B39"/>
    <w:rsid w:val="002D7E23"/>
    <w:rsid w:val="002E0ED8"/>
    <w:rsid w:val="002E13F5"/>
    <w:rsid w:val="002E19A1"/>
    <w:rsid w:val="002E2FB0"/>
    <w:rsid w:val="002E32DE"/>
    <w:rsid w:val="002E359D"/>
    <w:rsid w:val="002E3FC7"/>
    <w:rsid w:val="002E5E52"/>
    <w:rsid w:val="002E7353"/>
    <w:rsid w:val="002F0BC8"/>
    <w:rsid w:val="002F0FB9"/>
    <w:rsid w:val="002F14FB"/>
    <w:rsid w:val="002F18B0"/>
    <w:rsid w:val="002F3201"/>
    <w:rsid w:val="002F642A"/>
    <w:rsid w:val="002F7B39"/>
    <w:rsid w:val="002F7BA1"/>
    <w:rsid w:val="002F7C03"/>
    <w:rsid w:val="002F7CDA"/>
    <w:rsid w:val="002F7D34"/>
    <w:rsid w:val="002F7E5E"/>
    <w:rsid w:val="003001BE"/>
    <w:rsid w:val="00301576"/>
    <w:rsid w:val="00301B91"/>
    <w:rsid w:val="00302F77"/>
    <w:rsid w:val="00303459"/>
    <w:rsid w:val="00303F8D"/>
    <w:rsid w:val="00305F97"/>
    <w:rsid w:val="003064F2"/>
    <w:rsid w:val="00306701"/>
    <w:rsid w:val="0031040F"/>
    <w:rsid w:val="003105CA"/>
    <w:rsid w:val="00310F53"/>
    <w:rsid w:val="00311B4A"/>
    <w:rsid w:val="0031257E"/>
    <w:rsid w:val="00312716"/>
    <w:rsid w:val="00313389"/>
    <w:rsid w:val="003146B2"/>
    <w:rsid w:val="0031627C"/>
    <w:rsid w:val="00316B84"/>
    <w:rsid w:val="003171C3"/>
    <w:rsid w:val="00323B8E"/>
    <w:rsid w:val="00323CBE"/>
    <w:rsid w:val="003242D3"/>
    <w:rsid w:val="003263C0"/>
    <w:rsid w:val="00326620"/>
    <w:rsid w:val="00327655"/>
    <w:rsid w:val="003302EE"/>
    <w:rsid w:val="00330594"/>
    <w:rsid w:val="00333373"/>
    <w:rsid w:val="0033412B"/>
    <w:rsid w:val="00334E25"/>
    <w:rsid w:val="00335016"/>
    <w:rsid w:val="003350AA"/>
    <w:rsid w:val="00335174"/>
    <w:rsid w:val="00335A50"/>
    <w:rsid w:val="00336CAD"/>
    <w:rsid w:val="003409F0"/>
    <w:rsid w:val="00340ACD"/>
    <w:rsid w:val="003415B7"/>
    <w:rsid w:val="00342A2A"/>
    <w:rsid w:val="00343140"/>
    <w:rsid w:val="00343A02"/>
    <w:rsid w:val="003460C1"/>
    <w:rsid w:val="00346331"/>
    <w:rsid w:val="0034758C"/>
    <w:rsid w:val="00350137"/>
    <w:rsid w:val="0035052B"/>
    <w:rsid w:val="00350769"/>
    <w:rsid w:val="00352A34"/>
    <w:rsid w:val="0035361F"/>
    <w:rsid w:val="00353799"/>
    <w:rsid w:val="0035386A"/>
    <w:rsid w:val="00354BF8"/>
    <w:rsid w:val="003554AD"/>
    <w:rsid w:val="00357355"/>
    <w:rsid w:val="003611F1"/>
    <w:rsid w:val="0036123F"/>
    <w:rsid w:val="00361DB2"/>
    <w:rsid w:val="003636E2"/>
    <w:rsid w:val="00363B53"/>
    <w:rsid w:val="00364830"/>
    <w:rsid w:val="003648DA"/>
    <w:rsid w:val="00366D42"/>
    <w:rsid w:val="00372619"/>
    <w:rsid w:val="00372983"/>
    <w:rsid w:val="0037307C"/>
    <w:rsid w:val="003730DF"/>
    <w:rsid w:val="00374F9E"/>
    <w:rsid w:val="00377040"/>
    <w:rsid w:val="0037721C"/>
    <w:rsid w:val="003822C3"/>
    <w:rsid w:val="0038284D"/>
    <w:rsid w:val="00384521"/>
    <w:rsid w:val="0038535B"/>
    <w:rsid w:val="00385393"/>
    <w:rsid w:val="0038544E"/>
    <w:rsid w:val="003864EC"/>
    <w:rsid w:val="00386D41"/>
    <w:rsid w:val="003913E4"/>
    <w:rsid w:val="00391570"/>
    <w:rsid w:val="00393846"/>
    <w:rsid w:val="00393D04"/>
    <w:rsid w:val="00393FA1"/>
    <w:rsid w:val="00394CC2"/>
    <w:rsid w:val="00394DB5"/>
    <w:rsid w:val="0039535B"/>
    <w:rsid w:val="003959A1"/>
    <w:rsid w:val="00395B44"/>
    <w:rsid w:val="00397640"/>
    <w:rsid w:val="003A01C6"/>
    <w:rsid w:val="003A1180"/>
    <w:rsid w:val="003A2A3A"/>
    <w:rsid w:val="003A2D92"/>
    <w:rsid w:val="003A35F2"/>
    <w:rsid w:val="003A4052"/>
    <w:rsid w:val="003A4CD9"/>
    <w:rsid w:val="003A51BB"/>
    <w:rsid w:val="003A5BF6"/>
    <w:rsid w:val="003A6A38"/>
    <w:rsid w:val="003A6B4F"/>
    <w:rsid w:val="003A70B2"/>
    <w:rsid w:val="003A70C1"/>
    <w:rsid w:val="003A74A7"/>
    <w:rsid w:val="003B0CA7"/>
    <w:rsid w:val="003B154D"/>
    <w:rsid w:val="003B1769"/>
    <w:rsid w:val="003B191C"/>
    <w:rsid w:val="003B4275"/>
    <w:rsid w:val="003B43CF"/>
    <w:rsid w:val="003B4A97"/>
    <w:rsid w:val="003B5010"/>
    <w:rsid w:val="003B5A03"/>
    <w:rsid w:val="003B69A9"/>
    <w:rsid w:val="003B7030"/>
    <w:rsid w:val="003B770A"/>
    <w:rsid w:val="003B7A4F"/>
    <w:rsid w:val="003B7C44"/>
    <w:rsid w:val="003C0354"/>
    <w:rsid w:val="003C282F"/>
    <w:rsid w:val="003C2AC5"/>
    <w:rsid w:val="003C2C1D"/>
    <w:rsid w:val="003C2E17"/>
    <w:rsid w:val="003C345B"/>
    <w:rsid w:val="003C4692"/>
    <w:rsid w:val="003C46D8"/>
    <w:rsid w:val="003C5412"/>
    <w:rsid w:val="003C5A35"/>
    <w:rsid w:val="003C5C10"/>
    <w:rsid w:val="003C5E40"/>
    <w:rsid w:val="003C785B"/>
    <w:rsid w:val="003D03DE"/>
    <w:rsid w:val="003D33D6"/>
    <w:rsid w:val="003D3E37"/>
    <w:rsid w:val="003D4163"/>
    <w:rsid w:val="003D45AC"/>
    <w:rsid w:val="003D644C"/>
    <w:rsid w:val="003D7753"/>
    <w:rsid w:val="003D7FCE"/>
    <w:rsid w:val="003E044B"/>
    <w:rsid w:val="003E138D"/>
    <w:rsid w:val="003E1A1D"/>
    <w:rsid w:val="003E2CDA"/>
    <w:rsid w:val="003E3917"/>
    <w:rsid w:val="003E4396"/>
    <w:rsid w:val="003E4CBE"/>
    <w:rsid w:val="003E6B24"/>
    <w:rsid w:val="003E7963"/>
    <w:rsid w:val="003F02A2"/>
    <w:rsid w:val="003F0AC2"/>
    <w:rsid w:val="003F0E4B"/>
    <w:rsid w:val="003F13C8"/>
    <w:rsid w:val="003F2826"/>
    <w:rsid w:val="003F2920"/>
    <w:rsid w:val="003F2A8F"/>
    <w:rsid w:val="003F3A8F"/>
    <w:rsid w:val="003F5FDD"/>
    <w:rsid w:val="003F6940"/>
    <w:rsid w:val="003F7A32"/>
    <w:rsid w:val="003F7DAB"/>
    <w:rsid w:val="003F7F6B"/>
    <w:rsid w:val="00401420"/>
    <w:rsid w:val="00401F83"/>
    <w:rsid w:val="00402AEA"/>
    <w:rsid w:val="00403526"/>
    <w:rsid w:val="00406236"/>
    <w:rsid w:val="00407087"/>
    <w:rsid w:val="00410C24"/>
    <w:rsid w:val="00411A63"/>
    <w:rsid w:val="004128DB"/>
    <w:rsid w:val="00413073"/>
    <w:rsid w:val="004132E1"/>
    <w:rsid w:val="00413C9E"/>
    <w:rsid w:val="00413E00"/>
    <w:rsid w:val="00414642"/>
    <w:rsid w:val="00414A2B"/>
    <w:rsid w:val="00414FA1"/>
    <w:rsid w:val="00415447"/>
    <w:rsid w:val="004159FC"/>
    <w:rsid w:val="00420895"/>
    <w:rsid w:val="00421B16"/>
    <w:rsid w:val="004238C1"/>
    <w:rsid w:val="00423FAD"/>
    <w:rsid w:val="00424500"/>
    <w:rsid w:val="00424818"/>
    <w:rsid w:val="00424F2C"/>
    <w:rsid w:val="00425A60"/>
    <w:rsid w:val="0042726A"/>
    <w:rsid w:val="004273AE"/>
    <w:rsid w:val="0043168D"/>
    <w:rsid w:val="004316D9"/>
    <w:rsid w:val="00432907"/>
    <w:rsid w:val="00433910"/>
    <w:rsid w:val="00433C67"/>
    <w:rsid w:val="00434C08"/>
    <w:rsid w:val="0043652D"/>
    <w:rsid w:val="00436752"/>
    <w:rsid w:val="00436EFD"/>
    <w:rsid w:val="004409C0"/>
    <w:rsid w:val="00441219"/>
    <w:rsid w:val="0044166F"/>
    <w:rsid w:val="00443124"/>
    <w:rsid w:val="004433DE"/>
    <w:rsid w:val="00443D0C"/>
    <w:rsid w:val="004441EA"/>
    <w:rsid w:val="004449A0"/>
    <w:rsid w:val="00445F85"/>
    <w:rsid w:val="00447E32"/>
    <w:rsid w:val="00447F00"/>
    <w:rsid w:val="004503DC"/>
    <w:rsid w:val="00450BEA"/>
    <w:rsid w:val="00451417"/>
    <w:rsid w:val="00452F09"/>
    <w:rsid w:val="00452F2C"/>
    <w:rsid w:val="00455658"/>
    <w:rsid w:val="004569B7"/>
    <w:rsid w:val="00456DF1"/>
    <w:rsid w:val="00457572"/>
    <w:rsid w:val="00457826"/>
    <w:rsid w:val="004578CB"/>
    <w:rsid w:val="004601ED"/>
    <w:rsid w:val="00460FA4"/>
    <w:rsid w:val="00461296"/>
    <w:rsid w:val="00463B0F"/>
    <w:rsid w:val="00464781"/>
    <w:rsid w:val="0046792A"/>
    <w:rsid w:val="0046796E"/>
    <w:rsid w:val="004701BF"/>
    <w:rsid w:val="0047039E"/>
    <w:rsid w:val="00471213"/>
    <w:rsid w:val="00471DFF"/>
    <w:rsid w:val="00472383"/>
    <w:rsid w:val="00472E05"/>
    <w:rsid w:val="00474607"/>
    <w:rsid w:val="00475301"/>
    <w:rsid w:val="00476A3B"/>
    <w:rsid w:val="00476E78"/>
    <w:rsid w:val="0048005D"/>
    <w:rsid w:val="0048017E"/>
    <w:rsid w:val="0048072E"/>
    <w:rsid w:val="00481660"/>
    <w:rsid w:val="00481881"/>
    <w:rsid w:val="00481BA6"/>
    <w:rsid w:val="00481C59"/>
    <w:rsid w:val="00481DD7"/>
    <w:rsid w:val="00482D21"/>
    <w:rsid w:val="0048438B"/>
    <w:rsid w:val="00484CD9"/>
    <w:rsid w:val="00485EE1"/>
    <w:rsid w:val="00486EDF"/>
    <w:rsid w:val="00486F8F"/>
    <w:rsid w:val="004877BA"/>
    <w:rsid w:val="00490C43"/>
    <w:rsid w:val="004919E6"/>
    <w:rsid w:val="00495978"/>
    <w:rsid w:val="0049763A"/>
    <w:rsid w:val="00497D41"/>
    <w:rsid w:val="004A183A"/>
    <w:rsid w:val="004A3BA4"/>
    <w:rsid w:val="004A4A9C"/>
    <w:rsid w:val="004A4D08"/>
    <w:rsid w:val="004A4D97"/>
    <w:rsid w:val="004A55D9"/>
    <w:rsid w:val="004A586D"/>
    <w:rsid w:val="004A6448"/>
    <w:rsid w:val="004A7ECB"/>
    <w:rsid w:val="004B2115"/>
    <w:rsid w:val="004B21D5"/>
    <w:rsid w:val="004B2968"/>
    <w:rsid w:val="004B35A9"/>
    <w:rsid w:val="004B3B80"/>
    <w:rsid w:val="004B3C57"/>
    <w:rsid w:val="004B4C2A"/>
    <w:rsid w:val="004B4F05"/>
    <w:rsid w:val="004B54A8"/>
    <w:rsid w:val="004B54BA"/>
    <w:rsid w:val="004B6551"/>
    <w:rsid w:val="004B6FA1"/>
    <w:rsid w:val="004B7517"/>
    <w:rsid w:val="004C0A18"/>
    <w:rsid w:val="004C1CFB"/>
    <w:rsid w:val="004C27C0"/>
    <w:rsid w:val="004C2D6E"/>
    <w:rsid w:val="004C3649"/>
    <w:rsid w:val="004C367C"/>
    <w:rsid w:val="004C5EEC"/>
    <w:rsid w:val="004C64B2"/>
    <w:rsid w:val="004C655C"/>
    <w:rsid w:val="004D00B3"/>
    <w:rsid w:val="004D206C"/>
    <w:rsid w:val="004D20C1"/>
    <w:rsid w:val="004D5049"/>
    <w:rsid w:val="004D57DA"/>
    <w:rsid w:val="004D623A"/>
    <w:rsid w:val="004D64FB"/>
    <w:rsid w:val="004D6D91"/>
    <w:rsid w:val="004D76B3"/>
    <w:rsid w:val="004E076C"/>
    <w:rsid w:val="004E1087"/>
    <w:rsid w:val="004E2A67"/>
    <w:rsid w:val="004E2F91"/>
    <w:rsid w:val="004E40D0"/>
    <w:rsid w:val="004E46A1"/>
    <w:rsid w:val="004E5012"/>
    <w:rsid w:val="004E5640"/>
    <w:rsid w:val="004E6B2C"/>
    <w:rsid w:val="004E6E94"/>
    <w:rsid w:val="004F1D89"/>
    <w:rsid w:val="004F38BD"/>
    <w:rsid w:val="004F38D9"/>
    <w:rsid w:val="004F3E8A"/>
    <w:rsid w:val="004F4354"/>
    <w:rsid w:val="004F57FB"/>
    <w:rsid w:val="004F72D2"/>
    <w:rsid w:val="004F7395"/>
    <w:rsid w:val="004F7CA2"/>
    <w:rsid w:val="004F7E47"/>
    <w:rsid w:val="0050113A"/>
    <w:rsid w:val="00504459"/>
    <w:rsid w:val="005063C7"/>
    <w:rsid w:val="00506555"/>
    <w:rsid w:val="00506804"/>
    <w:rsid w:val="00506D6A"/>
    <w:rsid w:val="005072AC"/>
    <w:rsid w:val="00507552"/>
    <w:rsid w:val="00507727"/>
    <w:rsid w:val="005079AC"/>
    <w:rsid w:val="00510D42"/>
    <w:rsid w:val="00511A49"/>
    <w:rsid w:val="00511FC0"/>
    <w:rsid w:val="00512C7A"/>
    <w:rsid w:val="005151E2"/>
    <w:rsid w:val="0051698B"/>
    <w:rsid w:val="00516A4E"/>
    <w:rsid w:val="00517868"/>
    <w:rsid w:val="0052052C"/>
    <w:rsid w:val="00524077"/>
    <w:rsid w:val="00524247"/>
    <w:rsid w:val="00525E84"/>
    <w:rsid w:val="00527034"/>
    <w:rsid w:val="00527FD4"/>
    <w:rsid w:val="00530196"/>
    <w:rsid w:val="00530CF8"/>
    <w:rsid w:val="00531273"/>
    <w:rsid w:val="00531A1D"/>
    <w:rsid w:val="005320D7"/>
    <w:rsid w:val="00532202"/>
    <w:rsid w:val="0054098B"/>
    <w:rsid w:val="00540BDB"/>
    <w:rsid w:val="00540FFF"/>
    <w:rsid w:val="005410BB"/>
    <w:rsid w:val="0054143D"/>
    <w:rsid w:val="00542189"/>
    <w:rsid w:val="005426EE"/>
    <w:rsid w:val="0054377B"/>
    <w:rsid w:val="00543FA1"/>
    <w:rsid w:val="00544B72"/>
    <w:rsid w:val="00544CD8"/>
    <w:rsid w:val="005455B1"/>
    <w:rsid w:val="00545D53"/>
    <w:rsid w:val="00546C41"/>
    <w:rsid w:val="00547EF0"/>
    <w:rsid w:val="00550078"/>
    <w:rsid w:val="005500C7"/>
    <w:rsid w:val="005507B5"/>
    <w:rsid w:val="00550E47"/>
    <w:rsid w:val="00552795"/>
    <w:rsid w:val="00552D91"/>
    <w:rsid w:val="0055496F"/>
    <w:rsid w:val="00556AF7"/>
    <w:rsid w:val="00557619"/>
    <w:rsid w:val="00560F89"/>
    <w:rsid w:val="00561699"/>
    <w:rsid w:val="00563496"/>
    <w:rsid w:val="00566B0D"/>
    <w:rsid w:val="005714F2"/>
    <w:rsid w:val="005718D8"/>
    <w:rsid w:val="00571A93"/>
    <w:rsid w:val="00571C02"/>
    <w:rsid w:val="00571F86"/>
    <w:rsid w:val="00572B49"/>
    <w:rsid w:val="00572C62"/>
    <w:rsid w:val="005740A7"/>
    <w:rsid w:val="00574D1D"/>
    <w:rsid w:val="005760FB"/>
    <w:rsid w:val="005770AE"/>
    <w:rsid w:val="00577201"/>
    <w:rsid w:val="00577BD8"/>
    <w:rsid w:val="00577EA4"/>
    <w:rsid w:val="00580E66"/>
    <w:rsid w:val="00580FB5"/>
    <w:rsid w:val="00581D42"/>
    <w:rsid w:val="005830E4"/>
    <w:rsid w:val="00585158"/>
    <w:rsid w:val="0058554C"/>
    <w:rsid w:val="00585E54"/>
    <w:rsid w:val="00586D6A"/>
    <w:rsid w:val="00587258"/>
    <w:rsid w:val="00587717"/>
    <w:rsid w:val="005909B0"/>
    <w:rsid w:val="005909BB"/>
    <w:rsid w:val="00592A34"/>
    <w:rsid w:val="005931A2"/>
    <w:rsid w:val="0059338F"/>
    <w:rsid w:val="00593676"/>
    <w:rsid w:val="00593C96"/>
    <w:rsid w:val="00594512"/>
    <w:rsid w:val="00594D52"/>
    <w:rsid w:val="00594E83"/>
    <w:rsid w:val="00595DAE"/>
    <w:rsid w:val="00596EEE"/>
    <w:rsid w:val="005970AE"/>
    <w:rsid w:val="0059750C"/>
    <w:rsid w:val="0059798F"/>
    <w:rsid w:val="00597BA9"/>
    <w:rsid w:val="005A0CDE"/>
    <w:rsid w:val="005A2087"/>
    <w:rsid w:val="005A26F0"/>
    <w:rsid w:val="005A298D"/>
    <w:rsid w:val="005A2AD3"/>
    <w:rsid w:val="005A4A3A"/>
    <w:rsid w:val="005A4A72"/>
    <w:rsid w:val="005A5246"/>
    <w:rsid w:val="005A54D1"/>
    <w:rsid w:val="005A5AB6"/>
    <w:rsid w:val="005A6CF9"/>
    <w:rsid w:val="005A77DC"/>
    <w:rsid w:val="005B00E9"/>
    <w:rsid w:val="005B0673"/>
    <w:rsid w:val="005B2A47"/>
    <w:rsid w:val="005B2C7C"/>
    <w:rsid w:val="005B2F7F"/>
    <w:rsid w:val="005B2FBB"/>
    <w:rsid w:val="005B3189"/>
    <w:rsid w:val="005B32B2"/>
    <w:rsid w:val="005B32DD"/>
    <w:rsid w:val="005B544D"/>
    <w:rsid w:val="005B7569"/>
    <w:rsid w:val="005B7AFD"/>
    <w:rsid w:val="005C0A12"/>
    <w:rsid w:val="005C211F"/>
    <w:rsid w:val="005C4141"/>
    <w:rsid w:val="005C420F"/>
    <w:rsid w:val="005C4FAA"/>
    <w:rsid w:val="005C50FF"/>
    <w:rsid w:val="005C579A"/>
    <w:rsid w:val="005C5825"/>
    <w:rsid w:val="005C5CDB"/>
    <w:rsid w:val="005D092B"/>
    <w:rsid w:val="005D0E1A"/>
    <w:rsid w:val="005D1A37"/>
    <w:rsid w:val="005D2160"/>
    <w:rsid w:val="005D3703"/>
    <w:rsid w:val="005D5BED"/>
    <w:rsid w:val="005D5CD3"/>
    <w:rsid w:val="005D5E31"/>
    <w:rsid w:val="005D5F65"/>
    <w:rsid w:val="005D63E0"/>
    <w:rsid w:val="005D6535"/>
    <w:rsid w:val="005D6E42"/>
    <w:rsid w:val="005D7811"/>
    <w:rsid w:val="005E0542"/>
    <w:rsid w:val="005E1479"/>
    <w:rsid w:val="005E26A2"/>
    <w:rsid w:val="005E29CD"/>
    <w:rsid w:val="005E2A5F"/>
    <w:rsid w:val="005E4E45"/>
    <w:rsid w:val="005E4F58"/>
    <w:rsid w:val="005E523F"/>
    <w:rsid w:val="005E7040"/>
    <w:rsid w:val="005E7C2F"/>
    <w:rsid w:val="005F0171"/>
    <w:rsid w:val="005F0CAF"/>
    <w:rsid w:val="005F197B"/>
    <w:rsid w:val="005F19CC"/>
    <w:rsid w:val="005F242E"/>
    <w:rsid w:val="005F34CB"/>
    <w:rsid w:val="005F5BDF"/>
    <w:rsid w:val="005F7445"/>
    <w:rsid w:val="006001B3"/>
    <w:rsid w:val="00600439"/>
    <w:rsid w:val="00602475"/>
    <w:rsid w:val="0060392C"/>
    <w:rsid w:val="00604C74"/>
    <w:rsid w:val="0060511B"/>
    <w:rsid w:val="00610B5E"/>
    <w:rsid w:val="00611055"/>
    <w:rsid w:val="0061223C"/>
    <w:rsid w:val="00614364"/>
    <w:rsid w:val="00614CC2"/>
    <w:rsid w:val="0061648E"/>
    <w:rsid w:val="00616D63"/>
    <w:rsid w:val="00617CBF"/>
    <w:rsid w:val="00617FB1"/>
    <w:rsid w:val="00621120"/>
    <w:rsid w:val="0062308B"/>
    <w:rsid w:val="00623530"/>
    <w:rsid w:val="00624579"/>
    <w:rsid w:val="006252ED"/>
    <w:rsid w:val="0062596A"/>
    <w:rsid w:val="00625C79"/>
    <w:rsid w:val="00626C0F"/>
    <w:rsid w:val="00631AAD"/>
    <w:rsid w:val="00632951"/>
    <w:rsid w:val="00632965"/>
    <w:rsid w:val="00632C5B"/>
    <w:rsid w:val="00633CA5"/>
    <w:rsid w:val="00633DEB"/>
    <w:rsid w:val="00633DFE"/>
    <w:rsid w:val="00634191"/>
    <w:rsid w:val="00634B69"/>
    <w:rsid w:val="00635D78"/>
    <w:rsid w:val="0063655A"/>
    <w:rsid w:val="00636B2B"/>
    <w:rsid w:val="00637431"/>
    <w:rsid w:val="006374EB"/>
    <w:rsid w:val="00637D5E"/>
    <w:rsid w:val="00640A1A"/>
    <w:rsid w:val="00640E47"/>
    <w:rsid w:val="00641480"/>
    <w:rsid w:val="00641F33"/>
    <w:rsid w:val="00642DFA"/>
    <w:rsid w:val="00644033"/>
    <w:rsid w:val="00644862"/>
    <w:rsid w:val="0064573C"/>
    <w:rsid w:val="00645C99"/>
    <w:rsid w:val="006479E7"/>
    <w:rsid w:val="006507C6"/>
    <w:rsid w:val="00650D3D"/>
    <w:rsid w:val="00651B6C"/>
    <w:rsid w:val="0065448A"/>
    <w:rsid w:val="006556E7"/>
    <w:rsid w:val="006572F9"/>
    <w:rsid w:val="00657F21"/>
    <w:rsid w:val="00660050"/>
    <w:rsid w:val="00660A5E"/>
    <w:rsid w:val="00661524"/>
    <w:rsid w:val="0066382C"/>
    <w:rsid w:val="00663F01"/>
    <w:rsid w:val="00664CB1"/>
    <w:rsid w:val="006654D6"/>
    <w:rsid w:val="0067090D"/>
    <w:rsid w:val="006717C2"/>
    <w:rsid w:val="00672547"/>
    <w:rsid w:val="006726B5"/>
    <w:rsid w:val="00672E38"/>
    <w:rsid w:val="0067411E"/>
    <w:rsid w:val="006750BF"/>
    <w:rsid w:val="00675A7D"/>
    <w:rsid w:val="0067634C"/>
    <w:rsid w:val="006770A8"/>
    <w:rsid w:val="006807BC"/>
    <w:rsid w:val="00680814"/>
    <w:rsid w:val="00680E5E"/>
    <w:rsid w:val="0068137D"/>
    <w:rsid w:val="00681AC7"/>
    <w:rsid w:val="00682196"/>
    <w:rsid w:val="0068418A"/>
    <w:rsid w:val="00685093"/>
    <w:rsid w:val="00685109"/>
    <w:rsid w:val="006853A4"/>
    <w:rsid w:val="0068604B"/>
    <w:rsid w:val="00686469"/>
    <w:rsid w:val="00686573"/>
    <w:rsid w:val="00687624"/>
    <w:rsid w:val="0069174F"/>
    <w:rsid w:val="00693DE3"/>
    <w:rsid w:val="006944C0"/>
    <w:rsid w:val="00694884"/>
    <w:rsid w:val="00695472"/>
    <w:rsid w:val="00695BF6"/>
    <w:rsid w:val="00695CDB"/>
    <w:rsid w:val="00695D22"/>
    <w:rsid w:val="006972FE"/>
    <w:rsid w:val="00697ADD"/>
    <w:rsid w:val="00697DC3"/>
    <w:rsid w:val="006A01FB"/>
    <w:rsid w:val="006A08A7"/>
    <w:rsid w:val="006A325B"/>
    <w:rsid w:val="006A39A9"/>
    <w:rsid w:val="006A3FF0"/>
    <w:rsid w:val="006A50E1"/>
    <w:rsid w:val="006A6773"/>
    <w:rsid w:val="006A6F5B"/>
    <w:rsid w:val="006A7687"/>
    <w:rsid w:val="006A7E6D"/>
    <w:rsid w:val="006B0C36"/>
    <w:rsid w:val="006B0F1B"/>
    <w:rsid w:val="006B0FED"/>
    <w:rsid w:val="006B117B"/>
    <w:rsid w:val="006B15AF"/>
    <w:rsid w:val="006B1C11"/>
    <w:rsid w:val="006B24F1"/>
    <w:rsid w:val="006B2FD6"/>
    <w:rsid w:val="006B4DD5"/>
    <w:rsid w:val="006B5037"/>
    <w:rsid w:val="006B6943"/>
    <w:rsid w:val="006B7326"/>
    <w:rsid w:val="006B73AB"/>
    <w:rsid w:val="006C08F3"/>
    <w:rsid w:val="006C1247"/>
    <w:rsid w:val="006C2DDD"/>
    <w:rsid w:val="006C3AE7"/>
    <w:rsid w:val="006C5A1A"/>
    <w:rsid w:val="006C70D7"/>
    <w:rsid w:val="006C73D2"/>
    <w:rsid w:val="006D09DB"/>
    <w:rsid w:val="006D144C"/>
    <w:rsid w:val="006D1688"/>
    <w:rsid w:val="006D2404"/>
    <w:rsid w:val="006D3BD5"/>
    <w:rsid w:val="006D3E6F"/>
    <w:rsid w:val="006D5990"/>
    <w:rsid w:val="006D615D"/>
    <w:rsid w:val="006D6D69"/>
    <w:rsid w:val="006D77F9"/>
    <w:rsid w:val="006D7A92"/>
    <w:rsid w:val="006E0788"/>
    <w:rsid w:val="006E237A"/>
    <w:rsid w:val="006E2B7B"/>
    <w:rsid w:val="006E3773"/>
    <w:rsid w:val="006E45E4"/>
    <w:rsid w:val="006E4A11"/>
    <w:rsid w:val="006E4B13"/>
    <w:rsid w:val="006E503D"/>
    <w:rsid w:val="006E5B10"/>
    <w:rsid w:val="006E6340"/>
    <w:rsid w:val="006E648A"/>
    <w:rsid w:val="006E7C64"/>
    <w:rsid w:val="006F1A32"/>
    <w:rsid w:val="006F2C75"/>
    <w:rsid w:val="006F41C6"/>
    <w:rsid w:val="006F4708"/>
    <w:rsid w:val="006F4734"/>
    <w:rsid w:val="006F65F6"/>
    <w:rsid w:val="006F72FF"/>
    <w:rsid w:val="007006B8"/>
    <w:rsid w:val="007012A7"/>
    <w:rsid w:val="00701BA3"/>
    <w:rsid w:val="007028EF"/>
    <w:rsid w:val="007039E8"/>
    <w:rsid w:val="00703A68"/>
    <w:rsid w:val="00704EEB"/>
    <w:rsid w:val="00705399"/>
    <w:rsid w:val="00705A55"/>
    <w:rsid w:val="00705E45"/>
    <w:rsid w:val="00706CEF"/>
    <w:rsid w:val="00707145"/>
    <w:rsid w:val="00707A64"/>
    <w:rsid w:val="00707E07"/>
    <w:rsid w:val="00711872"/>
    <w:rsid w:val="00711CD8"/>
    <w:rsid w:val="007122FF"/>
    <w:rsid w:val="0071384B"/>
    <w:rsid w:val="00714055"/>
    <w:rsid w:val="00714107"/>
    <w:rsid w:val="00714BBE"/>
    <w:rsid w:val="0071589C"/>
    <w:rsid w:val="00715A0A"/>
    <w:rsid w:val="007162B1"/>
    <w:rsid w:val="0071730D"/>
    <w:rsid w:val="00717638"/>
    <w:rsid w:val="00721096"/>
    <w:rsid w:val="00722765"/>
    <w:rsid w:val="00726E9A"/>
    <w:rsid w:val="0073011F"/>
    <w:rsid w:val="00731832"/>
    <w:rsid w:val="00732035"/>
    <w:rsid w:val="00732742"/>
    <w:rsid w:val="00733783"/>
    <w:rsid w:val="007337F9"/>
    <w:rsid w:val="007346D8"/>
    <w:rsid w:val="007360DF"/>
    <w:rsid w:val="007361BA"/>
    <w:rsid w:val="00736AD1"/>
    <w:rsid w:val="00736B0A"/>
    <w:rsid w:val="00736DE7"/>
    <w:rsid w:val="007370B0"/>
    <w:rsid w:val="00737993"/>
    <w:rsid w:val="007404E4"/>
    <w:rsid w:val="007409F2"/>
    <w:rsid w:val="00741232"/>
    <w:rsid w:val="007416A0"/>
    <w:rsid w:val="00741B4E"/>
    <w:rsid w:val="00741F2D"/>
    <w:rsid w:val="00743035"/>
    <w:rsid w:val="007443C5"/>
    <w:rsid w:val="00744803"/>
    <w:rsid w:val="0074530D"/>
    <w:rsid w:val="00745483"/>
    <w:rsid w:val="00745637"/>
    <w:rsid w:val="007478BF"/>
    <w:rsid w:val="00750429"/>
    <w:rsid w:val="00751E4F"/>
    <w:rsid w:val="007522F2"/>
    <w:rsid w:val="00752599"/>
    <w:rsid w:val="007526FE"/>
    <w:rsid w:val="0075283D"/>
    <w:rsid w:val="00752A45"/>
    <w:rsid w:val="00753B22"/>
    <w:rsid w:val="0075420B"/>
    <w:rsid w:val="007542D3"/>
    <w:rsid w:val="0075533F"/>
    <w:rsid w:val="0075704C"/>
    <w:rsid w:val="007603B2"/>
    <w:rsid w:val="00760F32"/>
    <w:rsid w:val="00762036"/>
    <w:rsid w:val="00763016"/>
    <w:rsid w:val="00763590"/>
    <w:rsid w:val="0076394F"/>
    <w:rsid w:val="007649EC"/>
    <w:rsid w:val="00764FCA"/>
    <w:rsid w:val="00766084"/>
    <w:rsid w:val="00767A07"/>
    <w:rsid w:val="00770E36"/>
    <w:rsid w:val="00771031"/>
    <w:rsid w:val="00771641"/>
    <w:rsid w:val="00771C25"/>
    <w:rsid w:val="00772008"/>
    <w:rsid w:val="007735AE"/>
    <w:rsid w:val="00773943"/>
    <w:rsid w:val="00773988"/>
    <w:rsid w:val="0077564B"/>
    <w:rsid w:val="00775FF2"/>
    <w:rsid w:val="00780506"/>
    <w:rsid w:val="00782040"/>
    <w:rsid w:val="00782873"/>
    <w:rsid w:val="00784F30"/>
    <w:rsid w:val="0078575D"/>
    <w:rsid w:val="00786091"/>
    <w:rsid w:val="007864D6"/>
    <w:rsid w:val="007867EC"/>
    <w:rsid w:val="00786B0C"/>
    <w:rsid w:val="007906E5"/>
    <w:rsid w:val="00790EBE"/>
    <w:rsid w:val="0079103B"/>
    <w:rsid w:val="007910D7"/>
    <w:rsid w:val="007915BB"/>
    <w:rsid w:val="007920EF"/>
    <w:rsid w:val="00792224"/>
    <w:rsid w:val="007925C9"/>
    <w:rsid w:val="007928AE"/>
    <w:rsid w:val="00792F04"/>
    <w:rsid w:val="00794CC7"/>
    <w:rsid w:val="007953B3"/>
    <w:rsid w:val="007A02F3"/>
    <w:rsid w:val="007A0530"/>
    <w:rsid w:val="007A068E"/>
    <w:rsid w:val="007A09AB"/>
    <w:rsid w:val="007A0EED"/>
    <w:rsid w:val="007A1005"/>
    <w:rsid w:val="007A11EF"/>
    <w:rsid w:val="007A1389"/>
    <w:rsid w:val="007A1505"/>
    <w:rsid w:val="007A1FBB"/>
    <w:rsid w:val="007A2A41"/>
    <w:rsid w:val="007A2F4B"/>
    <w:rsid w:val="007A3C7F"/>
    <w:rsid w:val="007A4E2C"/>
    <w:rsid w:val="007A4FB1"/>
    <w:rsid w:val="007A5579"/>
    <w:rsid w:val="007A5B79"/>
    <w:rsid w:val="007A75F2"/>
    <w:rsid w:val="007B11D1"/>
    <w:rsid w:val="007B1B16"/>
    <w:rsid w:val="007B1F5F"/>
    <w:rsid w:val="007B2BEC"/>
    <w:rsid w:val="007B32E2"/>
    <w:rsid w:val="007B3478"/>
    <w:rsid w:val="007B45E0"/>
    <w:rsid w:val="007B596C"/>
    <w:rsid w:val="007B5C57"/>
    <w:rsid w:val="007B5CFC"/>
    <w:rsid w:val="007B73B9"/>
    <w:rsid w:val="007B758D"/>
    <w:rsid w:val="007C07E6"/>
    <w:rsid w:val="007C13CF"/>
    <w:rsid w:val="007C2281"/>
    <w:rsid w:val="007C27A4"/>
    <w:rsid w:val="007C40D4"/>
    <w:rsid w:val="007C4417"/>
    <w:rsid w:val="007C58D1"/>
    <w:rsid w:val="007C6900"/>
    <w:rsid w:val="007C69DB"/>
    <w:rsid w:val="007C6FE4"/>
    <w:rsid w:val="007D2930"/>
    <w:rsid w:val="007D2FF2"/>
    <w:rsid w:val="007D31E1"/>
    <w:rsid w:val="007D6BE6"/>
    <w:rsid w:val="007E0916"/>
    <w:rsid w:val="007E14EC"/>
    <w:rsid w:val="007E2BE6"/>
    <w:rsid w:val="007E3AEA"/>
    <w:rsid w:val="007E450F"/>
    <w:rsid w:val="007E5249"/>
    <w:rsid w:val="007E6D78"/>
    <w:rsid w:val="007E6F0E"/>
    <w:rsid w:val="007E6F83"/>
    <w:rsid w:val="007F0110"/>
    <w:rsid w:val="007F15E1"/>
    <w:rsid w:val="007F2E34"/>
    <w:rsid w:val="007F317B"/>
    <w:rsid w:val="007F3220"/>
    <w:rsid w:val="007F3D7C"/>
    <w:rsid w:val="007F4206"/>
    <w:rsid w:val="007F456B"/>
    <w:rsid w:val="007F4652"/>
    <w:rsid w:val="007F538C"/>
    <w:rsid w:val="007F6486"/>
    <w:rsid w:val="007F730F"/>
    <w:rsid w:val="008013B4"/>
    <w:rsid w:val="00801C54"/>
    <w:rsid w:val="0080226E"/>
    <w:rsid w:val="008022FF"/>
    <w:rsid w:val="00804074"/>
    <w:rsid w:val="00805724"/>
    <w:rsid w:val="00805EDA"/>
    <w:rsid w:val="00806ACB"/>
    <w:rsid w:val="00806EE0"/>
    <w:rsid w:val="00807FE5"/>
    <w:rsid w:val="008105BE"/>
    <w:rsid w:val="00812FB0"/>
    <w:rsid w:val="00813E9B"/>
    <w:rsid w:val="00814967"/>
    <w:rsid w:val="00814DAD"/>
    <w:rsid w:val="008155CC"/>
    <w:rsid w:val="008165D8"/>
    <w:rsid w:val="00816779"/>
    <w:rsid w:val="00816A30"/>
    <w:rsid w:val="00817F28"/>
    <w:rsid w:val="00820842"/>
    <w:rsid w:val="008208AA"/>
    <w:rsid w:val="008215F0"/>
    <w:rsid w:val="00821C5C"/>
    <w:rsid w:val="00821DDE"/>
    <w:rsid w:val="00822A10"/>
    <w:rsid w:val="0082505A"/>
    <w:rsid w:val="0082508E"/>
    <w:rsid w:val="00825A36"/>
    <w:rsid w:val="008278D4"/>
    <w:rsid w:val="0083016F"/>
    <w:rsid w:val="00830E51"/>
    <w:rsid w:val="00831EF8"/>
    <w:rsid w:val="008326E1"/>
    <w:rsid w:val="00832702"/>
    <w:rsid w:val="0083382E"/>
    <w:rsid w:val="00833F88"/>
    <w:rsid w:val="00834778"/>
    <w:rsid w:val="008347A4"/>
    <w:rsid w:val="00834BCB"/>
    <w:rsid w:val="0083610D"/>
    <w:rsid w:val="00836313"/>
    <w:rsid w:val="0083651C"/>
    <w:rsid w:val="00837FAB"/>
    <w:rsid w:val="008413C4"/>
    <w:rsid w:val="00843D9C"/>
    <w:rsid w:val="00843FB3"/>
    <w:rsid w:val="0084409C"/>
    <w:rsid w:val="00844C64"/>
    <w:rsid w:val="00844F57"/>
    <w:rsid w:val="00845133"/>
    <w:rsid w:val="00845BA2"/>
    <w:rsid w:val="00846085"/>
    <w:rsid w:val="00847DBE"/>
    <w:rsid w:val="00850058"/>
    <w:rsid w:val="00850B76"/>
    <w:rsid w:val="0085174E"/>
    <w:rsid w:val="00851F8F"/>
    <w:rsid w:val="00853E5C"/>
    <w:rsid w:val="0085619C"/>
    <w:rsid w:val="00856369"/>
    <w:rsid w:val="00856F07"/>
    <w:rsid w:val="0085772C"/>
    <w:rsid w:val="00857758"/>
    <w:rsid w:val="00857FC5"/>
    <w:rsid w:val="00861774"/>
    <w:rsid w:val="008630BD"/>
    <w:rsid w:val="00863CA8"/>
    <w:rsid w:val="0086488A"/>
    <w:rsid w:val="00864929"/>
    <w:rsid w:val="00866068"/>
    <w:rsid w:val="00866F1F"/>
    <w:rsid w:val="008677B6"/>
    <w:rsid w:val="00870302"/>
    <w:rsid w:val="008705BA"/>
    <w:rsid w:val="00870926"/>
    <w:rsid w:val="00870B8E"/>
    <w:rsid w:val="00873096"/>
    <w:rsid w:val="0087327F"/>
    <w:rsid w:val="008746B4"/>
    <w:rsid w:val="00874AE3"/>
    <w:rsid w:val="0087691B"/>
    <w:rsid w:val="00876E6F"/>
    <w:rsid w:val="0087711E"/>
    <w:rsid w:val="00881F96"/>
    <w:rsid w:val="0088266E"/>
    <w:rsid w:val="00882C75"/>
    <w:rsid w:val="008837D9"/>
    <w:rsid w:val="00883875"/>
    <w:rsid w:val="00884EB1"/>
    <w:rsid w:val="00884ECA"/>
    <w:rsid w:val="00885B68"/>
    <w:rsid w:val="0088628A"/>
    <w:rsid w:val="008872F9"/>
    <w:rsid w:val="00887E54"/>
    <w:rsid w:val="0089004A"/>
    <w:rsid w:val="008919C9"/>
    <w:rsid w:val="0089287A"/>
    <w:rsid w:val="00893272"/>
    <w:rsid w:val="00893EB3"/>
    <w:rsid w:val="00894D55"/>
    <w:rsid w:val="008962B1"/>
    <w:rsid w:val="0089689E"/>
    <w:rsid w:val="008A07E2"/>
    <w:rsid w:val="008A14FE"/>
    <w:rsid w:val="008A1A1D"/>
    <w:rsid w:val="008A1B0F"/>
    <w:rsid w:val="008A1EA8"/>
    <w:rsid w:val="008A48DF"/>
    <w:rsid w:val="008A492C"/>
    <w:rsid w:val="008A577E"/>
    <w:rsid w:val="008A5C6F"/>
    <w:rsid w:val="008A602E"/>
    <w:rsid w:val="008A6EB7"/>
    <w:rsid w:val="008A7444"/>
    <w:rsid w:val="008B02BE"/>
    <w:rsid w:val="008B0CF5"/>
    <w:rsid w:val="008B2810"/>
    <w:rsid w:val="008B2DF8"/>
    <w:rsid w:val="008B3AE5"/>
    <w:rsid w:val="008B3F56"/>
    <w:rsid w:val="008B5C5C"/>
    <w:rsid w:val="008B5D1B"/>
    <w:rsid w:val="008B739D"/>
    <w:rsid w:val="008B74C7"/>
    <w:rsid w:val="008C1003"/>
    <w:rsid w:val="008C2BC9"/>
    <w:rsid w:val="008C48AC"/>
    <w:rsid w:val="008C515A"/>
    <w:rsid w:val="008C51AD"/>
    <w:rsid w:val="008C6C1C"/>
    <w:rsid w:val="008C6CDE"/>
    <w:rsid w:val="008C7B16"/>
    <w:rsid w:val="008D01F3"/>
    <w:rsid w:val="008D1287"/>
    <w:rsid w:val="008D165D"/>
    <w:rsid w:val="008D27B2"/>
    <w:rsid w:val="008D2CC0"/>
    <w:rsid w:val="008D3578"/>
    <w:rsid w:val="008D4016"/>
    <w:rsid w:val="008D4096"/>
    <w:rsid w:val="008D4B0B"/>
    <w:rsid w:val="008D4FFF"/>
    <w:rsid w:val="008D516C"/>
    <w:rsid w:val="008D57B0"/>
    <w:rsid w:val="008E072A"/>
    <w:rsid w:val="008E10DC"/>
    <w:rsid w:val="008E31AC"/>
    <w:rsid w:val="008E4904"/>
    <w:rsid w:val="008E5123"/>
    <w:rsid w:val="008E6641"/>
    <w:rsid w:val="008E67A1"/>
    <w:rsid w:val="008E7E51"/>
    <w:rsid w:val="008F03F4"/>
    <w:rsid w:val="008F04B5"/>
    <w:rsid w:val="008F05B0"/>
    <w:rsid w:val="008F06EE"/>
    <w:rsid w:val="008F126E"/>
    <w:rsid w:val="008F12A7"/>
    <w:rsid w:val="008F19BF"/>
    <w:rsid w:val="008F5444"/>
    <w:rsid w:val="008F58A9"/>
    <w:rsid w:val="008F68D8"/>
    <w:rsid w:val="008F7DC6"/>
    <w:rsid w:val="00900780"/>
    <w:rsid w:val="00900D56"/>
    <w:rsid w:val="0090116D"/>
    <w:rsid w:val="00902EEE"/>
    <w:rsid w:val="00902FFB"/>
    <w:rsid w:val="00903092"/>
    <w:rsid w:val="00903178"/>
    <w:rsid w:val="0090403D"/>
    <w:rsid w:val="00905E38"/>
    <w:rsid w:val="00906BB7"/>
    <w:rsid w:val="009070BC"/>
    <w:rsid w:val="00907AE5"/>
    <w:rsid w:val="009118B7"/>
    <w:rsid w:val="009130C3"/>
    <w:rsid w:val="00913F67"/>
    <w:rsid w:val="00916456"/>
    <w:rsid w:val="00916590"/>
    <w:rsid w:val="009167A7"/>
    <w:rsid w:val="0091728C"/>
    <w:rsid w:val="0091795A"/>
    <w:rsid w:val="00917F82"/>
    <w:rsid w:val="009207EE"/>
    <w:rsid w:val="009210B1"/>
    <w:rsid w:val="00921D90"/>
    <w:rsid w:val="00925403"/>
    <w:rsid w:val="0092698B"/>
    <w:rsid w:val="00927C48"/>
    <w:rsid w:val="00927DE6"/>
    <w:rsid w:val="00930866"/>
    <w:rsid w:val="00930B58"/>
    <w:rsid w:val="0093152D"/>
    <w:rsid w:val="00933178"/>
    <w:rsid w:val="00933527"/>
    <w:rsid w:val="0093465B"/>
    <w:rsid w:val="00941EB7"/>
    <w:rsid w:val="00946006"/>
    <w:rsid w:val="0094607F"/>
    <w:rsid w:val="00946155"/>
    <w:rsid w:val="009515FF"/>
    <w:rsid w:val="0095258F"/>
    <w:rsid w:val="00953589"/>
    <w:rsid w:val="00953A0A"/>
    <w:rsid w:val="00956736"/>
    <w:rsid w:val="00956B7E"/>
    <w:rsid w:val="00956FAC"/>
    <w:rsid w:val="00957EAB"/>
    <w:rsid w:val="00963495"/>
    <w:rsid w:val="00963A6E"/>
    <w:rsid w:val="009647DF"/>
    <w:rsid w:val="00965AD8"/>
    <w:rsid w:val="00966556"/>
    <w:rsid w:val="00966896"/>
    <w:rsid w:val="00966C8B"/>
    <w:rsid w:val="00967B3A"/>
    <w:rsid w:val="00967DD0"/>
    <w:rsid w:val="00970C9B"/>
    <w:rsid w:val="00970DB6"/>
    <w:rsid w:val="00971A08"/>
    <w:rsid w:val="009724E2"/>
    <w:rsid w:val="009733A1"/>
    <w:rsid w:val="0097436A"/>
    <w:rsid w:val="00975ABB"/>
    <w:rsid w:val="00975AC0"/>
    <w:rsid w:val="009766A6"/>
    <w:rsid w:val="00976EF3"/>
    <w:rsid w:val="0097792C"/>
    <w:rsid w:val="00977A13"/>
    <w:rsid w:val="0098025A"/>
    <w:rsid w:val="009814EE"/>
    <w:rsid w:val="00981BAE"/>
    <w:rsid w:val="00982AAE"/>
    <w:rsid w:val="00983BD0"/>
    <w:rsid w:val="00983BDA"/>
    <w:rsid w:val="00983F58"/>
    <w:rsid w:val="00985646"/>
    <w:rsid w:val="00985967"/>
    <w:rsid w:val="00986641"/>
    <w:rsid w:val="00986E6D"/>
    <w:rsid w:val="00987621"/>
    <w:rsid w:val="00987E76"/>
    <w:rsid w:val="00987E7A"/>
    <w:rsid w:val="009912F2"/>
    <w:rsid w:val="00991AB9"/>
    <w:rsid w:val="00992AC5"/>
    <w:rsid w:val="00993848"/>
    <w:rsid w:val="00994141"/>
    <w:rsid w:val="00995240"/>
    <w:rsid w:val="009956AA"/>
    <w:rsid w:val="00997219"/>
    <w:rsid w:val="009A1D3A"/>
    <w:rsid w:val="009A2185"/>
    <w:rsid w:val="009A22AE"/>
    <w:rsid w:val="009A251C"/>
    <w:rsid w:val="009A2832"/>
    <w:rsid w:val="009A3E17"/>
    <w:rsid w:val="009A4DB4"/>
    <w:rsid w:val="009A524C"/>
    <w:rsid w:val="009A57B9"/>
    <w:rsid w:val="009A5F2C"/>
    <w:rsid w:val="009A6309"/>
    <w:rsid w:val="009A6C43"/>
    <w:rsid w:val="009A6CAE"/>
    <w:rsid w:val="009A710F"/>
    <w:rsid w:val="009B0049"/>
    <w:rsid w:val="009B0864"/>
    <w:rsid w:val="009B13FA"/>
    <w:rsid w:val="009B19E0"/>
    <w:rsid w:val="009B1C6D"/>
    <w:rsid w:val="009B2859"/>
    <w:rsid w:val="009B440B"/>
    <w:rsid w:val="009B4740"/>
    <w:rsid w:val="009B554E"/>
    <w:rsid w:val="009B5938"/>
    <w:rsid w:val="009B712B"/>
    <w:rsid w:val="009B762A"/>
    <w:rsid w:val="009B7836"/>
    <w:rsid w:val="009C0FCD"/>
    <w:rsid w:val="009C0FE7"/>
    <w:rsid w:val="009C1A65"/>
    <w:rsid w:val="009C244A"/>
    <w:rsid w:val="009C2D2F"/>
    <w:rsid w:val="009C4FD5"/>
    <w:rsid w:val="009C5E80"/>
    <w:rsid w:val="009D06D7"/>
    <w:rsid w:val="009D1211"/>
    <w:rsid w:val="009D2DD0"/>
    <w:rsid w:val="009D2DEB"/>
    <w:rsid w:val="009D3AC4"/>
    <w:rsid w:val="009D424E"/>
    <w:rsid w:val="009D4D07"/>
    <w:rsid w:val="009D577F"/>
    <w:rsid w:val="009D5C87"/>
    <w:rsid w:val="009D5D86"/>
    <w:rsid w:val="009D636A"/>
    <w:rsid w:val="009D68CC"/>
    <w:rsid w:val="009D7627"/>
    <w:rsid w:val="009D7D10"/>
    <w:rsid w:val="009E088C"/>
    <w:rsid w:val="009E1253"/>
    <w:rsid w:val="009E25A9"/>
    <w:rsid w:val="009E3131"/>
    <w:rsid w:val="009E4558"/>
    <w:rsid w:val="009E4578"/>
    <w:rsid w:val="009E559B"/>
    <w:rsid w:val="009E6B7B"/>
    <w:rsid w:val="009F0ED7"/>
    <w:rsid w:val="009F26C7"/>
    <w:rsid w:val="009F4251"/>
    <w:rsid w:val="009F4D8F"/>
    <w:rsid w:val="009F776B"/>
    <w:rsid w:val="009F79AF"/>
    <w:rsid w:val="009F7B7B"/>
    <w:rsid w:val="00A00524"/>
    <w:rsid w:val="00A00B6E"/>
    <w:rsid w:val="00A02209"/>
    <w:rsid w:val="00A02296"/>
    <w:rsid w:val="00A02849"/>
    <w:rsid w:val="00A02D81"/>
    <w:rsid w:val="00A02DA9"/>
    <w:rsid w:val="00A030CC"/>
    <w:rsid w:val="00A0367F"/>
    <w:rsid w:val="00A03DF4"/>
    <w:rsid w:val="00A105B3"/>
    <w:rsid w:val="00A11211"/>
    <w:rsid w:val="00A118C8"/>
    <w:rsid w:val="00A13862"/>
    <w:rsid w:val="00A157A9"/>
    <w:rsid w:val="00A15D5D"/>
    <w:rsid w:val="00A16FF9"/>
    <w:rsid w:val="00A20FC5"/>
    <w:rsid w:val="00A21299"/>
    <w:rsid w:val="00A2254A"/>
    <w:rsid w:val="00A22CF4"/>
    <w:rsid w:val="00A2471C"/>
    <w:rsid w:val="00A26FC0"/>
    <w:rsid w:val="00A27626"/>
    <w:rsid w:val="00A27ACD"/>
    <w:rsid w:val="00A27ED5"/>
    <w:rsid w:val="00A3071B"/>
    <w:rsid w:val="00A30ED0"/>
    <w:rsid w:val="00A32864"/>
    <w:rsid w:val="00A335E8"/>
    <w:rsid w:val="00A33711"/>
    <w:rsid w:val="00A33804"/>
    <w:rsid w:val="00A338F2"/>
    <w:rsid w:val="00A33DA3"/>
    <w:rsid w:val="00A34660"/>
    <w:rsid w:val="00A36F7E"/>
    <w:rsid w:val="00A37229"/>
    <w:rsid w:val="00A40AEB"/>
    <w:rsid w:val="00A40D14"/>
    <w:rsid w:val="00A44910"/>
    <w:rsid w:val="00A4515A"/>
    <w:rsid w:val="00A4569B"/>
    <w:rsid w:val="00A46596"/>
    <w:rsid w:val="00A5050C"/>
    <w:rsid w:val="00A51512"/>
    <w:rsid w:val="00A51D8E"/>
    <w:rsid w:val="00A53CAD"/>
    <w:rsid w:val="00A54BB5"/>
    <w:rsid w:val="00A54EAB"/>
    <w:rsid w:val="00A5585A"/>
    <w:rsid w:val="00A5709A"/>
    <w:rsid w:val="00A578DF"/>
    <w:rsid w:val="00A6024B"/>
    <w:rsid w:val="00A61478"/>
    <w:rsid w:val="00A63321"/>
    <w:rsid w:val="00A638E4"/>
    <w:rsid w:val="00A63C75"/>
    <w:rsid w:val="00A63C93"/>
    <w:rsid w:val="00A640E2"/>
    <w:rsid w:val="00A64458"/>
    <w:rsid w:val="00A649F3"/>
    <w:rsid w:val="00A64E8F"/>
    <w:rsid w:val="00A65088"/>
    <w:rsid w:val="00A65331"/>
    <w:rsid w:val="00A6535A"/>
    <w:rsid w:val="00A66397"/>
    <w:rsid w:val="00A6694C"/>
    <w:rsid w:val="00A677F0"/>
    <w:rsid w:val="00A70BF2"/>
    <w:rsid w:val="00A71710"/>
    <w:rsid w:val="00A72C8A"/>
    <w:rsid w:val="00A72DA1"/>
    <w:rsid w:val="00A7395D"/>
    <w:rsid w:val="00A73C09"/>
    <w:rsid w:val="00A73DDF"/>
    <w:rsid w:val="00A749C3"/>
    <w:rsid w:val="00A75098"/>
    <w:rsid w:val="00A757A2"/>
    <w:rsid w:val="00A77BB1"/>
    <w:rsid w:val="00A802B1"/>
    <w:rsid w:val="00A80EA5"/>
    <w:rsid w:val="00A819F0"/>
    <w:rsid w:val="00A81A58"/>
    <w:rsid w:val="00A836B0"/>
    <w:rsid w:val="00A841D5"/>
    <w:rsid w:val="00A86C29"/>
    <w:rsid w:val="00A8797F"/>
    <w:rsid w:val="00A90879"/>
    <w:rsid w:val="00A9252D"/>
    <w:rsid w:val="00A92E53"/>
    <w:rsid w:val="00A93321"/>
    <w:rsid w:val="00A93CC1"/>
    <w:rsid w:val="00A942C4"/>
    <w:rsid w:val="00A9481E"/>
    <w:rsid w:val="00A96C10"/>
    <w:rsid w:val="00AA14E7"/>
    <w:rsid w:val="00AA30E3"/>
    <w:rsid w:val="00AA4CF3"/>
    <w:rsid w:val="00AA5533"/>
    <w:rsid w:val="00AA6BCF"/>
    <w:rsid w:val="00AA7241"/>
    <w:rsid w:val="00AB061D"/>
    <w:rsid w:val="00AB0B57"/>
    <w:rsid w:val="00AB1711"/>
    <w:rsid w:val="00AB1977"/>
    <w:rsid w:val="00AB206F"/>
    <w:rsid w:val="00AB2BD7"/>
    <w:rsid w:val="00AB34EF"/>
    <w:rsid w:val="00AC02FD"/>
    <w:rsid w:val="00AC045A"/>
    <w:rsid w:val="00AC0D79"/>
    <w:rsid w:val="00AC2918"/>
    <w:rsid w:val="00AC2DC2"/>
    <w:rsid w:val="00AC35BA"/>
    <w:rsid w:val="00AC44DC"/>
    <w:rsid w:val="00AC4CE1"/>
    <w:rsid w:val="00AC52BD"/>
    <w:rsid w:val="00AC5E52"/>
    <w:rsid w:val="00AC7337"/>
    <w:rsid w:val="00AD05F7"/>
    <w:rsid w:val="00AD1F95"/>
    <w:rsid w:val="00AD40D8"/>
    <w:rsid w:val="00AD4462"/>
    <w:rsid w:val="00AD501F"/>
    <w:rsid w:val="00AD7A33"/>
    <w:rsid w:val="00AE0076"/>
    <w:rsid w:val="00AE0CCE"/>
    <w:rsid w:val="00AE12D8"/>
    <w:rsid w:val="00AE2D20"/>
    <w:rsid w:val="00AE4F9D"/>
    <w:rsid w:val="00AE627B"/>
    <w:rsid w:val="00AE6412"/>
    <w:rsid w:val="00AE64D5"/>
    <w:rsid w:val="00AE6979"/>
    <w:rsid w:val="00AF01AC"/>
    <w:rsid w:val="00AF0E18"/>
    <w:rsid w:val="00AF0E8A"/>
    <w:rsid w:val="00AF2121"/>
    <w:rsid w:val="00AF3BCA"/>
    <w:rsid w:val="00AF52EB"/>
    <w:rsid w:val="00AF5D60"/>
    <w:rsid w:val="00AF71E7"/>
    <w:rsid w:val="00AF7F14"/>
    <w:rsid w:val="00B001A2"/>
    <w:rsid w:val="00B010C6"/>
    <w:rsid w:val="00B01370"/>
    <w:rsid w:val="00B0255E"/>
    <w:rsid w:val="00B02ED9"/>
    <w:rsid w:val="00B03F75"/>
    <w:rsid w:val="00B05034"/>
    <w:rsid w:val="00B05D32"/>
    <w:rsid w:val="00B07B12"/>
    <w:rsid w:val="00B11C03"/>
    <w:rsid w:val="00B11C2C"/>
    <w:rsid w:val="00B13720"/>
    <w:rsid w:val="00B1380C"/>
    <w:rsid w:val="00B1450D"/>
    <w:rsid w:val="00B17D4E"/>
    <w:rsid w:val="00B20D86"/>
    <w:rsid w:val="00B23A23"/>
    <w:rsid w:val="00B23D91"/>
    <w:rsid w:val="00B24893"/>
    <w:rsid w:val="00B24D97"/>
    <w:rsid w:val="00B25D3F"/>
    <w:rsid w:val="00B25E56"/>
    <w:rsid w:val="00B26B8C"/>
    <w:rsid w:val="00B30D85"/>
    <w:rsid w:val="00B317E4"/>
    <w:rsid w:val="00B317F2"/>
    <w:rsid w:val="00B3213C"/>
    <w:rsid w:val="00B33C2F"/>
    <w:rsid w:val="00B34A97"/>
    <w:rsid w:val="00B34B2A"/>
    <w:rsid w:val="00B35B2A"/>
    <w:rsid w:val="00B35E4B"/>
    <w:rsid w:val="00B36A5D"/>
    <w:rsid w:val="00B375A1"/>
    <w:rsid w:val="00B37B11"/>
    <w:rsid w:val="00B37EC7"/>
    <w:rsid w:val="00B40B86"/>
    <w:rsid w:val="00B41700"/>
    <w:rsid w:val="00B41DE3"/>
    <w:rsid w:val="00B41E70"/>
    <w:rsid w:val="00B42C69"/>
    <w:rsid w:val="00B43373"/>
    <w:rsid w:val="00B45CC8"/>
    <w:rsid w:val="00B46659"/>
    <w:rsid w:val="00B50474"/>
    <w:rsid w:val="00B50B4F"/>
    <w:rsid w:val="00B52631"/>
    <w:rsid w:val="00B52A0E"/>
    <w:rsid w:val="00B52EB5"/>
    <w:rsid w:val="00B5364E"/>
    <w:rsid w:val="00B5466D"/>
    <w:rsid w:val="00B5484B"/>
    <w:rsid w:val="00B55643"/>
    <w:rsid w:val="00B5593C"/>
    <w:rsid w:val="00B56704"/>
    <w:rsid w:val="00B56B86"/>
    <w:rsid w:val="00B56DFA"/>
    <w:rsid w:val="00B5773A"/>
    <w:rsid w:val="00B57D6B"/>
    <w:rsid w:val="00B57EF5"/>
    <w:rsid w:val="00B603E2"/>
    <w:rsid w:val="00B60AFD"/>
    <w:rsid w:val="00B60BBF"/>
    <w:rsid w:val="00B63D04"/>
    <w:rsid w:val="00B64F9E"/>
    <w:rsid w:val="00B65410"/>
    <w:rsid w:val="00B65455"/>
    <w:rsid w:val="00B65B31"/>
    <w:rsid w:val="00B66993"/>
    <w:rsid w:val="00B714EA"/>
    <w:rsid w:val="00B72D32"/>
    <w:rsid w:val="00B730B2"/>
    <w:rsid w:val="00B73126"/>
    <w:rsid w:val="00B7398A"/>
    <w:rsid w:val="00B744B9"/>
    <w:rsid w:val="00B74CAE"/>
    <w:rsid w:val="00B75375"/>
    <w:rsid w:val="00B75BCE"/>
    <w:rsid w:val="00B75C22"/>
    <w:rsid w:val="00B75E1B"/>
    <w:rsid w:val="00B76502"/>
    <w:rsid w:val="00B778F4"/>
    <w:rsid w:val="00B77A0D"/>
    <w:rsid w:val="00B8061E"/>
    <w:rsid w:val="00B809C8"/>
    <w:rsid w:val="00B80BDD"/>
    <w:rsid w:val="00B8161C"/>
    <w:rsid w:val="00B84F94"/>
    <w:rsid w:val="00B85E26"/>
    <w:rsid w:val="00B86AE4"/>
    <w:rsid w:val="00B871E0"/>
    <w:rsid w:val="00B87914"/>
    <w:rsid w:val="00B92C05"/>
    <w:rsid w:val="00B93027"/>
    <w:rsid w:val="00B945CB"/>
    <w:rsid w:val="00B958DD"/>
    <w:rsid w:val="00B9647B"/>
    <w:rsid w:val="00B9709B"/>
    <w:rsid w:val="00B9759B"/>
    <w:rsid w:val="00BA18C4"/>
    <w:rsid w:val="00BA2703"/>
    <w:rsid w:val="00BA3528"/>
    <w:rsid w:val="00BA35C7"/>
    <w:rsid w:val="00BA382C"/>
    <w:rsid w:val="00BA4677"/>
    <w:rsid w:val="00BA524F"/>
    <w:rsid w:val="00BA5828"/>
    <w:rsid w:val="00BA6984"/>
    <w:rsid w:val="00BA7014"/>
    <w:rsid w:val="00BA730D"/>
    <w:rsid w:val="00BA7FF1"/>
    <w:rsid w:val="00BB1838"/>
    <w:rsid w:val="00BB1C89"/>
    <w:rsid w:val="00BB1D0F"/>
    <w:rsid w:val="00BB2A73"/>
    <w:rsid w:val="00BB42DC"/>
    <w:rsid w:val="00BB57B6"/>
    <w:rsid w:val="00BB694F"/>
    <w:rsid w:val="00BB6BC9"/>
    <w:rsid w:val="00BB6EB3"/>
    <w:rsid w:val="00BB7657"/>
    <w:rsid w:val="00BB7D21"/>
    <w:rsid w:val="00BB7E7C"/>
    <w:rsid w:val="00BC041D"/>
    <w:rsid w:val="00BC051E"/>
    <w:rsid w:val="00BC1F08"/>
    <w:rsid w:val="00BC2770"/>
    <w:rsid w:val="00BC2A13"/>
    <w:rsid w:val="00BC3529"/>
    <w:rsid w:val="00BC3897"/>
    <w:rsid w:val="00BC38BE"/>
    <w:rsid w:val="00BC62F6"/>
    <w:rsid w:val="00BC7781"/>
    <w:rsid w:val="00BC7FE5"/>
    <w:rsid w:val="00BD03B6"/>
    <w:rsid w:val="00BD3ECB"/>
    <w:rsid w:val="00BD45FB"/>
    <w:rsid w:val="00BD4680"/>
    <w:rsid w:val="00BD513C"/>
    <w:rsid w:val="00BD6BB6"/>
    <w:rsid w:val="00BD7322"/>
    <w:rsid w:val="00BD77DA"/>
    <w:rsid w:val="00BE038F"/>
    <w:rsid w:val="00BE07A2"/>
    <w:rsid w:val="00BE0E6E"/>
    <w:rsid w:val="00BE2B6A"/>
    <w:rsid w:val="00BE3113"/>
    <w:rsid w:val="00BE3F90"/>
    <w:rsid w:val="00BE4882"/>
    <w:rsid w:val="00BE557F"/>
    <w:rsid w:val="00BE5658"/>
    <w:rsid w:val="00BE566F"/>
    <w:rsid w:val="00BE5EE9"/>
    <w:rsid w:val="00BE6713"/>
    <w:rsid w:val="00BE693C"/>
    <w:rsid w:val="00BE6F23"/>
    <w:rsid w:val="00BE7C55"/>
    <w:rsid w:val="00BF0B79"/>
    <w:rsid w:val="00BF0CA3"/>
    <w:rsid w:val="00BF11E9"/>
    <w:rsid w:val="00BF2011"/>
    <w:rsid w:val="00BF2C91"/>
    <w:rsid w:val="00BF3EAA"/>
    <w:rsid w:val="00BF5560"/>
    <w:rsid w:val="00BF634B"/>
    <w:rsid w:val="00BF6F51"/>
    <w:rsid w:val="00BF745B"/>
    <w:rsid w:val="00C007CB"/>
    <w:rsid w:val="00C0106B"/>
    <w:rsid w:val="00C01A96"/>
    <w:rsid w:val="00C02ADB"/>
    <w:rsid w:val="00C031BC"/>
    <w:rsid w:val="00C03BDE"/>
    <w:rsid w:val="00C05A93"/>
    <w:rsid w:val="00C05E9A"/>
    <w:rsid w:val="00C118AC"/>
    <w:rsid w:val="00C13C2E"/>
    <w:rsid w:val="00C14056"/>
    <w:rsid w:val="00C15129"/>
    <w:rsid w:val="00C163C7"/>
    <w:rsid w:val="00C20006"/>
    <w:rsid w:val="00C2069D"/>
    <w:rsid w:val="00C20B87"/>
    <w:rsid w:val="00C225A3"/>
    <w:rsid w:val="00C22685"/>
    <w:rsid w:val="00C22EE9"/>
    <w:rsid w:val="00C24FD7"/>
    <w:rsid w:val="00C27901"/>
    <w:rsid w:val="00C31B83"/>
    <w:rsid w:val="00C31F96"/>
    <w:rsid w:val="00C3340A"/>
    <w:rsid w:val="00C33720"/>
    <w:rsid w:val="00C33748"/>
    <w:rsid w:val="00C347FD"/>
    <w:rsid w:val="00C34D8E"/>
    <w:rsid w:val="00C34EFE"/>
    <w:rsid w:val="00C358E6"/>
    <w:rsid w:val="00C364B6"/>
    <w:rsid w:val="00C36E94"/>
    <w:rsid w:val="00C37433"/>
    <w:rsid w:val="00C377C8"/>
    <w:rsid w:val="00C37D5D"/>
    <w:rsid w:val="00C40069"/>
    <w:rsid w:val="00C4049B"/>
    <w:rsid w:val="00C40B2C"/>
    <w:rsid w:val="00C40E7E"/>
    <w:rsid w:val="00C4104E"/>
    <w:rsid w:val="00C41650"/>
    <w:rsid w:val="00C41E70"/>
    <w:rsid w:val="00C41FF0"/>
    <w:rsid w:val="00C42AD9"/>
    <w:rsid w:val="00C4401F"/>
    <w:rsid w:val="00C44AA8"/>
    <w:rsid w:val="00C454AC"/>
    <w:rsid w:val="00C45980"/>
    <w:rsid w:val="00C46D2B"/>
    <w:rsid w:val="00C46DC5"/>
    <w:rsid w:val="00C5053C"/>
    <w:rsid w:val="00C50E0C"/>
    <w:rsid w:val="00C50F03"/>
    <w:rsid w:val="00C526DD"/>
    <w:rsid w:val="00C5369E"/>
    <w:rsid w:val="00C544D8"/>
    <w:rsid w:val="00C54E20"/>
    <w:rsid w:val="00C55102"/>
    <w:rsid w:val="00C5519F"/>
    <w:rsid w:val="00C552BE"/>
    <w:rsid w:val="00C56D6D"/>
    <w:rsid w:val="00C56FD4"/>
    <w:rsid w:val="00C573C9"/>
    <w:rsid w:val="00C57933"/>
    <w:rsid w:val="00C62F08"/>
    <w:rsid w:val="00C63B53"/>
    <w:rsid w:val="00C63E58"/>
    <w:rsid w:val="00C6477B"/>
    <w:rsid w:val="00C650D8"/>
    <w:rsid w:val="00C65264"/>
    <w:rsid w:val="00C654E5"/>
    <w:rsid w:val="00C65D06"/>
    <w:rsid w:val="00C65FC7"/>
    <w:rsid w:val="00C6626A"/>
    <w:rsid w:val="00C66920"/>
    <w:rsid w:val="00C700A0"/>
    <w:rsid w:val="00C705C0"/>
    <w:rsid w:val="00C7090F"/>
    <w:rsid w:val="00C72DFA"/>
    <w:rsid w:val="00C74985"/>
    <w:rsid w:val="00C762ED"/>
    <w:rsid w:val="00C773C0"/>
    <w:rsid w:val="00C77B0D"/>
    <w:rsid w:val="00C77F11"/>
    <w:rsid w:val="00C804F9"/>
    <w:rsid w:val="00C81C04"/>
    <w:rsid w:val="00C825B1"/>
    <w:rsid w:val="00C8316B"/>
    <w:rsid w:val="00C83E42"/>
    <w:rsid w:val="00C85F39"/>
    <w:rsid w:val="00C86915"/>
    <w:rsid w:val="00C86ABA"/>
    <w:rsid w:val="00C87803"/>
    <w:rsid w:val="00C908D9"/>
    <w:rsid w:val="00C90C99"/>
    <w:rsid w:val="00C916E2"/>
    <w:rsid w:val="00C91FE1"/>
    <w:rsid w:val="00C93EFE"/>
    <w:rsid w:val="00C95396"/>
    <w:rsid w:val="00C95C39"/>
    <w:rsid w:val="00C96266"/>
    <w:rsid w:val="00C96B42"/>
    <w:rsid w:val="00C96DFF"/>
    <w:rsid w:val="00C978D6"/>
    <w:rsid w:val="00CA16B5"/>
    <w:rsid w:val="00CA1C3A"/>
    <w:rsid w:val="00CA237F"/>
    <w:rsid w:val="00CA3959"/>
    <w:rsid w:val="00CA415C"/>
    <w:rsid w:val="00CA52B9"/>
    <w:rsid w:val="00CA5DE7"/>
    <w:rsid w:val="00CA6B8A"/>
    <w:rsid w:val="00CA74BE"/>
    <w:rsid w:val="00CB0DA4"/>
    <w:rsid w:val="00CB0E92"/>
    <w:rsid w:val="00CB119A"/>
    <w:rsid w:val="00CB1248"/>
    <w:rsid w:val="00CB1D03"/>
    <w:rsid w:val="00CB1FA2"/>
    <w:rsid w:val="00CB20A8"/>
    <w:rsid w:val="00CB3C83"/>
    <w:rsid w:val="00CB4265"/>
    <w:rsid w:val="00CB4DDF"/>
    <w:rsid w:val="00CB55D8"/>
    <w:rsid w:val="00CB5FA9"/>
    <w:rsid w:val="00CB66F9"/>
    <w:rsid w:val="00CB6F62"/>
    <w:rsid w:val="00CB72D8"/>
    <w:rsid w:val="00CB74D8"/>
    <w:rsid w:val="00CC23F5"/>
    <w:rsid w:val="00CC28BA"/>
    <w:rsid w:val="00CC3E2E"/>
    <w:rsid w:val="00CC44FF"/>
    <w:rsid w:val="00CC5286"/>
    <w:rsid w:val="00CC5CE7"/>
    <w:rsid w:val="00CC62EB"/>
    <w:rsid w:val="00CC6A97"/>
    <w:rsid w:val="00CC6D99"/>
    <w:rsid w:val="00CC70DB"/>
    <w:rsid w:val="00CC78DA"/>
    <w:rsid w:val="00CD092E"/>
    <w:rsid w:val="00CD0932"/>
    <w:rsid w:val="00CD0A05"/>
    <w:rsid w:val="00CD19C4"/>
    <w:rsid w:val="00CD2EBA"/>
    <w:rsid w:val="00CD3ECA"/>
    <w:rsid w:val="00CD468A"/>
    <w:rsid w:val="00CD4B70"/>
    <w:rsid w:val="00CD53AE"/>
    <w:rsid w:val="00CD66C5"/>
    <w:rsid w:val="00CD6ECB"/>
    <w:rsid w:val="00CD76B8"/>
    <w:rsid w:val="00CE15F3"/>
    <w:rsid w:val="00CE3F19"/>
    <w:rsid w:val="00CE4C2E"/>
    <w:rsid w:val="00CE66CB"/>
    <w:rsid w:val="00CE6CDA"/>
    <w:rsid w:val="00CF0E4B"/>
    <w:rsid w:val="00CF0FE0"/>
    <w:rsid w:val="00CF411C"/>
    <w:rsid w:val="00CF41A3"/>
    <w:rsid w:val="00CF57B3"/>
    <w:rsid w:val="00CF5812"/>
    <w:rsid w:val="00CF7F49"/>
    <w:rsid w:val="00D00578"/>
    <w:rsid w:val="00D00A46"/>
    <w:rsid w:val="00D00FC7"/>
    <w:rsid w:val="00D01447"/>
    <w:rsid w:val="00D01699"/>
    <w:rsid w:val="00D01B33"/>
    <w:rsid w:val="00D01C38"/>
    <w:rsid w:val="00D01E7B"/>
    <w:rsid w:val="00D02F40"/>
    <w:rsid w:val="00D03043"/>
    <w:rsid w:val="00D03380"/>
    <w:rsid w:val="00D04900"/>
    <w:rsid w:val="00D04D0F"/>
    <w:rsid w:val="00D05E36"/>
    <w:rsid w:val="00D078CF"/>
    <w:rsid w:val="00D07B26"/>
    <w:rsid w:val="00D10326"/>
    <w:rsid w:val="00D103BD"/>
    <w:rsid w:val="00D1293B"/>
    <w:rsid w:val="00D139D1"/>
    <w:rsid w:val="00D14599"/>
    <w:rsid w:val="00D14C2E"/>
    <w:rsid w:val="00D15101"/>
    <w:rsid w:val="00D1795A"/>
    <w:rsid w:val="00D207FA"/>
    <w:rsid w:val="00D21295"/>
    <w:rsid w:val="00D23877"/>
    <w:rsid w:val="00D2467A"/>
    <w:rsid w:val="00D24D9D"/>
    <w:rsid w:val="00D24F86"/>
    <w:rsid w:val="00D25F69"/>
    <w:rsid w:val="00D26830"/>
    <w:rsid w:val="00D26B7E"/>
    <w:rsid w:val="00D271C0"/>
    <w:rsid w:val="00D273D0"/>
    <w:rsid w:val="00D27D9D"/>
    <w:rsid w:val="00D27FCE"/>
    <w:rsid w:val="00D307AD"/>
    <w:rsid w:val="00D33C8D"/>
    <w:rsid w:val="00D344C1"/>
    <w:rsid w:val="00D349E0"/>
    <w:rsid w:val="00D351C2"/>
    <w:rsid w:val="00D35550"/>
    <w:rsid w:val="00D3747A"/>
    <w:rsid w:val="00D37F62"/>
    <w:rsid w:val="00D415AA"/>
    <w:rsid w:val="00D418A8"/>
    <w:rsid w:val="00D426A4"/>
    <w:rsid w:val="00D4343A"/>
    <w:rsid w:val="00D435A6"/>
    <w:rsid w:val="00D44CEA"/>
    <w:rsid w:val="00D45893"/>
    <w:rsid w:val="00D45B4A"/>
    <w:rsid w:val="00D46149"/>
    <w:rsid w:val="00D476F4"/>
    <w:rsid w:val="00D50656"/>
    <w:rsid w:val="00D51391"/>
    <w:rsid w:val="00D52BE1"/>
    <w:rsid w:val="00D53A52"/>
    <w:rsid w:val="00D53AA4"/>
    <w:rsid w:val="00D53B87"/>
    <w:rsid w:val="00D5447C"/>
    <w:rsid w:val="00D54A1A"/>
    <w:rsid w:val="00D563FF"/>
    <w:rsid w:val="00D57044"/>
    <w:rsid w:val="00D57510"/>
    <w:rsid w:val="00D6097F"/>
    <w:rsid w:val="00D626BF"/>
    <w:rsid w:val="00D632C1"/>
    <w:rsid w:val="00D633DE"/>
    <w:rsid w:val="00D63E5B"/>
    <w:rsid w:val="00D6408F"/>
    <w:rsid w:val="00D64309"/>
    <w:rsid w:val="00D64E29"/>
    <w:rsid w:val="00D65571"/>
    <w:rsid w:val="00D661CD"/>
    <w:rsid w:val="00D66498"/>
    <w:rsid w:val="00D67291"/>
    <w:rsid w:val="00D677C2"/>
    <w:rsid w:val="00D70273"/>
    <w:rsid w:val="00D70DED"/>
    <w:rsid w:val="00D71112"/>
    <w:rsid w:val="00D71343"/>
    <w:rsid w:val="00D715F4"/>
    <w:rsid w:val="00D72E2E"/>
    <w:rsid w:val="00D72FD0"/>
    <w:rsid w:val="00D7403F"/>
    <w:rsid w:val="00D749EA"/>
    <w:rsid w:val="00D75462"/>
    <w:rsid w:val="00D75EDE"/>
    <w:rsid w:val="00D76C60"/>
    <w:rsid w:val="00D77146"/>
    <w:rsid w:val="00D77B84"/>
    <w:rsid w:val="00D80879"/>
    <w:rsid w:val="00D80FAC"/>
    <w:rsid w:val="00D81E3A"/>
    <w:rsid w:val="00D82391"/>
    <w:rsid w:val="00D8260D"/>
    <w:rsid w:val="00D827F8"/>
    <w:rsid w:val="00D833AB"/>
    <w:rsid w:val="00D83B64"/>
    <w:rsid w:val="00D83B8D"/>
    <w:rsid w:val="00D83E18"/>
    <w:rsid w:val="00D84431"/>
    <w:rsid w:val="00D84E0C"/>
    <w:rsid w:val="00D85E65"/>
    <w:rsid w:val="00D85EDC"/>
    <w:rsid w:val="00D8757F"/>
    <w:rsid w:val="00D87622"/>
    <w:rsid w:val="00D9066A"/>
    <w:rsid w:val="00D911CC"/>
    <w:rsid w:val="00D92078"/>
    <w:rsid w:val="00D924A9"/>
    <w:rsid w:val="00D9269C"/>
    <w:rsid w:val="00D936EE"/>
    <w:rsid w:val="00D9450C"/>
    <w:rsid w:val="00D9459C"/>
    <w:rsid w:val="00D94926"/>
    <w:rsid w:val="00D94F17"/>
    <w:rsid w:val="00D94F7C"/>
    <w:rsid w:val="00D95FBD"/>
    <w:rsid w:val="00D96576"/>
    <w:rsid w:val="00D97223"/>
    <w:rsid w:val="00D97277"/>
    <w:rsid w:val="00D97EE3"/>
    <w:rsid w:val="00D97F45"/>
    <w:rsid w:val="00DA0D34"/>
    <w:rsid w:val="00DA2D7F"/>
    <w:rsid w:val="00DA4082"/>
    <w:rsid w:val="00DA458C"/>
    <w:rsid w:val="00DA5F22"/>
    <w:rsid w:val="00DA6B26"/>
    <w:rsid w:val="00DB008B"/>
    <w:rsid w:val="00DB02E4"/>
    <w:rsid w:val="00DB0420"/>
    <w:rsid w:val="00DB442C"/>
    <w:rsid w:val="00DB47E1"/>
    <w:rsid w:val="00DB4C4F"/>
    <w:rsid w:val="00DB5025"/>
    <w:rsid w:val="00DB7650"/>
    <w:rsid w:val="00DB79E0"/>
    <w:rsid w:val="00DB7E20"/>
    <w:rsid w:val="00DC2FE2"/>
    <w:rsid w:val="00DC3A43"/>
    <w:rsid w:val="00DC58F5"/>
    <w:rsid w:val="00DC6057"/>
    <w:rsid w:val="00DC61D3"/>
    <w:rsid w:val="00DC6874"/>
    <w:rsid w:val="00DC779C"/>
    <w:rsid w:val="00DC782E"/>
    <w:rsid w:val="00DC7E34"/>
    <w:rsid w:val="00DD0D8F"/>
    <w:rsid w:val="00DD15E1"/>
    <w:rsid w:val="00DD43A4"/>
    <w:rsid w:val="00DD46FC"/>
    <w:rsid w:val="00DD4F38"/>
    <w:rsid w:val="00DD74EC"/>
    <w:rsid w:val="00DD76DB"/>
    <w:rsid w:val="00DD7821"/>
    <w:rsid w:val="00DE06D3"/>
    <w:rsid w:val="00DE116A"/>
    <w:rsid w:val="00DE1255"/>
    <w:rsid w:val="00DE1C9D"/>
    <w:rsid w:val="00DE3378"/>
    <w:rsid w:val="00DE34C6"/>
    <w:rsid w:val="00DE358B"/>
    <w:rsid w:val="00DE46F4"/>
    <w:rsid w:val="00DE4AB8"/>
    <w:rsid w:val="00DE663A"/>
    <w:rsid w:val="00DE6B4E"/>
    <w:rsid w:val="00DF1D04"/>
    <w:rsid w:val="00DF2A91"/>
    <w:rsid w:val="00DF6203"/>
    <w:rsid w:val="00DF6887"/>
    <w:rsid w:val="00DF6B82"/>
    <w:rsid w:val="00DF719E"/>
    <w:rsid w:val="00DF768C"/>
    <w:rsid w:val="00DF7C72"/>
    <w:rsid w:val="00E00E6C"/>
    <w:rsid w:val="00E0138E"/>
    <w:rsid w:val="00E02A52"/>
    <w:rsid w:val="00E02BB8"/>
    <w:rsid w:val="00E036A0"/>
    <w:rsid w:val="00E03F13"/>
    <w:rsid w:val="00E04AA9"/>
    <w:rsid w:val="00E04B26"/>
    <w:rsid w:val="00E05925"/>
    <w:rsid w:val="00E065AF"/>
    <w:rsid w:val="00E07213"/>
    <w:rsid w:val="00E073E1"/>
    <w:rsid w:val="00E074F7"/>
    <w:rsid w:val="00E07760"/>
    <w:rsid w:val="00E10603"/>
    <w:rsid w:val="00E10E2E"/>
    <w:rsid w:val="00E110DE"/>
    <w:rsid w:val="00E13DF8"/>
    <w:rsid w:val="00E150D9"/>
    <w:rsid w:val="00E174DC"/>
    <w:rsid w:val="00E200D6"/>
    <w:rsid w:val="00E201EF"/>
    <w:rsid w:val="00E20BE5"/>
    <w:rsid w:val="00E224B1"/>
    <w:rsid w:val="00E22F3B"/>
    <w:rsid w:val="00E2330F"/>
    <w:rsid w:val="00E25481"/>
    <w:rsid w:val="00E2587F"/>
    <w:rsid w:val="00E265AD"/>
    <w:rsid w:val="00E278C3"/>
    <w:rsid w:val="00E32025"/>
    <w:rsid w:val="00E320C9"/>
    <w:rsid w:val="00E3262F"/>
    <w:rsid w:val="00E32932"/>
    <w:rsid w:val="00E33D08"/>
    <w:rsid w:val="00E34662"/>
    <w:rsid w:val="00E357D3"/>
    <w:rsid w:val="00E368FF"/>
    <w:rsid w:val="00E40696"/>
    <w:rsid w:val="00E416EB"/>
    <w:rsid w:val="00E425CD"/>
    <w:rsid w:val="00E43829"/>
    <w:rsid w:val="00E43ABD"/>
    <w:rsid w:val="00E43B17"/>
    <w:rsid w:val="00E43D24"/>
    <w:rsid w:val="00E447D9"/>
    <w:rsid w:val="00E44F52"/>
    <w:rsid w:val="00E461D7"/>
    <w:rsid w:val="00E47D2E"/>
    <w:rsid w:val="00E50A37"/>
    <w:rsid w:val="00E513BE"/>
    <w:rsid w:val="00E517DB"/>
    <w:rsid w:val="00E52454"/>
    <w:rsid w:val="00E5425A"/>
    <w:rsid w:val="00E54B56"/>
    <w:rsid w:val="00E54FC5"/>
    <w:rsid w:val="00E559C6"/>
    <w:rsid w:val="00E57792"/>
    <w:rsid w:val="00E6093C"/>
    <w:rsid w:val="00E6161E"/>
    <w:rsid w:val="00E621E0"/>
    <w:rsid w:val="00E63059"/>
    <w:rsid w:val="00E6338A"/>
    <w:rsid w:val="00E635B4"/>
    <w:rsid w:val="00E6489F"/>
    <w:rsid w:val="00E65CFC"/>
    <w:rsid w:val="00E66A57"/>
    <w:rsid w:val="00E671CA"/>
    <w:rsid w:val="00E67767"/>
    <w:rsid w:val="00E70162"/>
    <w:rsid w:val="00E709F5"/>
    <w:rsid w:val="00E70CAD"/>
    <w:rsid w:val="00E70F23"/>
    <w:rsid w:val="00E71AF1"/>
    <w:rsid w:val="00E733C1"/>
    <w:rsid w:val="00E74566"/>
    <w:rsid w:val="00E76285"/>
    <w:rsid w:val="00E77C34"/>
    <w:rsid w:val="00E805B8"/>
    <w:rsid w:val="00E806BF"/>
    <w:rsid w:val="00E814A7"/>
    <w:rsid w:val="00E818B5"/>
    <w:rsid w:val="00E828BA"/>
    <w:rsid w:val="00E833AD"/>
    <w:rsid w:val="00E83CC8"/>
    <w:rsid w:val="00E854C3"/>
    <w:rsid w:val="00E86C0F"/>
    <w:rsid w:val="00E87351"/>
    <w:rsid w:val="00E876D4"/>
    <w:rsid w:val="00E879A1"/>
    <w:rsid w:val="00E87D74"/>
    <w:rsid w:val="00E90015"/>
    <w:rsid w:val="00E90B39"/>
    <w:rsid w:val="00E90FBE"/>
    <w:rsid w:val="00E9308D"/>
    <w:rsid w:val="00E933A8"/>
    <w:rsid w:val="00E95396"/>
    <w:rsid w:val="00E9648E"/>
    <w:rsid w:val="00E966D2"/>
    <w:rsid w:val="00E96EDF"/>
    <w:rsid w:val="00E97267"/>
    <w:rsid w:val="00EA206A"/>
    <w:rsid w:val="00EA2BF6"/>
    <w:rsid w:val="00EA3A22"/>
    <w:rsid w:val="00EA4769"/>
    <w:rsid w:val="00EA6152"/>
    <w:rsid w:val="00EA7902"/>
    <w:rsid w:val="00EB0853"/>
    <w:rsid w:val="00EB2493"/>
    <w:rsid w:val="00EB4D77"/>
    <w:rsid w:val="00EB5345"/>
    <w:rsid w:val="00EB57EE"/>
    <w:rsid w:val="00EB5EC2"/>
    <w:rsid w:val="00EB65E3"/>
    <w:rsid w:val="00EB69CB"/>
    <w:rsid w:val="00EC2183"/>
    <w:rsid w:val="00EC247D"/>
    <w:rsid w:val="00EC41DE"/>
    <w:rsid w:val="00EC4D78"/>
    <w:rsid w:val="00EC6471"/>
    <w:rsid w:val="00EC67DC"/>
    <w:rsid w:val="00EC73DD"/>
    <w:rsid w:val="00ED1180"/>
    <w:rsid w:val="00ED1D58"/>
    <w:rsid w:val="00ED34F5"/>
    <w:rsid w:val="00ED4A48"/>
    <w:rsid w:val="00ED6B12"/>
    <w:rsid w:val="00ED76AB"/>
    <w:rsid w:val="00EE0765"/>
    <w:rsid w:val="00EE1516"/>
    <w:rsid w:val="00EE18BB"/>
    <w:rsid w:val="00EE1D21"/>
    <w:rsid w:val="00EE1E5D"/>
    <w:rsid w:val="00EE2B10"/>
    <w:rsid w:val="00EE3BE1"/>
    <w:rsid w:val="00EE4A12"/>
    <w:rsid w:val="00EE6000"/>
    <w:rsid w:val="00EE6178"/>
    <w:rsid w:val="00EE62EB"/>
    <w:rsid w:val="00EE6A15"/>
    <w:rsid w:val="00EE7BB3"/>
    <w:rsid w:val="00EF067F"/>
    <w:rsid w:val="00EF0CAB"/>
    <w:rsid w:val="00EF0D65"/>
    <w:rsid w:val="00EF1A77"/>
    <w:rsid w:val="00EF235B"/>
    <w:rsid w:val="00EF287E"/>
    <w:rsid w:val="00EF3140"/>
    <w:rsid w:val="00EF42CF"/>
    <w:rsid w:val="00EF443E"/>
    <w:rsid w:val="00EF4970"/>
    <w:rsid w:val="00EF4F64"/>
    <w:rsid w:val="00EF56BE"/>
    <w:rsid w:val="00F01095"/>
    <w:rsid w:val="00F0167C"/>
    <w:rsid w:val="00F01FC2"/>
    <w:rsid w:val="00F035AF"/>
    <w:rsid w:val="00F035FA"/>
    <w:rsid w:val="00F037C1"/>
    <w:rsid w:val="00F04800"/>
    <w:rsid w:val="00F04865"/>
    <w:rsid w:val="00F049FF"/>
    <w:rsid w:val="00F06600"/>
    <w:rsid w:val="00F06894"/>
    <w:rsid w:val="00F06C25"/>
    <w:rsid w:val="00F07EF2"/>
    <w:rsid w:val="00F10227"/>
    <w:rsid w:val="00F10D2A"/>
    <w:rsid w:val="00F12281"/>
    <w:rsid w:val="00F13D30"/>
    <w:rsid w:val="00F15109"/>
    <w:rsid w:val="00F17DE2"/>
    <w:rsid w:val="00F21A4B"/>
    <w:rsid w:val="00F21CAA"/>
    <w:rsid w:val="00F21E83"/>
    <w:rsid w:val="00F2452E"/>
    <w:rsid w:val="00F24C71"/>
    <w:rsid w:val="00F24F86"/>
    <w:rsid w:val="00F25384"/>
    <w:rsid w:val="00F2545B"/>
    <w:rsid w:val="00F26467"/>
    <w:rsid w:val="00F2650E"/>
    <w:rsid w:val="00F303F8"/>
    <w:rsid w:val="00F3075F"/>
    <w:rsid w:val="00F31A71"/>
    <w:rsid w:val="00F3206D"/>
    <w:rsid w:val="00F3242E"/>
    <w:rsid w:val="00F326AF"/>
    <w:rsid w:val="00F337DD"/>
    <w:rsid w:val="00F34BF8"/>
    <w:rsid w:val="00F34EF6"/>
    <w:rsid w:val="00F35D95"/>
    <w:rsid w:val="00F35DB0"/>
    <w:rsid w:val="00F364C3"/>
    <w:rsid w:val="00F374D7"/>
    <w:rsid w:val="00F37BE0"/>
    <w:rsid w:val="00F37D5F"/>
    <w:rsid w:val="00F40801"/>
    <w:rsid w:val="00F409F3"/>
    <w:rsid w:val="00F42904"/>
    <w:rsid w:val="00F4378F"/>
    <w:rsid w:val="00F43A21"/>
    <w:rsid w:val="00F43C92"/>
    <w:rsid w:val="00F43EEA"/>
    <w:rsid w:val="00F4542F"/>
    <w:rsid w:val="00F46B6F"/>
    <w:rsid w:val="00F47E31"/>
    <w:rsid w:val="00F5233C"/>
    <w:rsid w:val="00F52818"/>
    <w:rsid w:val="00F53EDF"/>
    <w:rsid w:val="00F5430C"/>
    <w:rsid w:val="00F55889"/>
    <w:rsid w:val="00F57667"/>
    <w:rsid w:val="00F606AF"/>
    <w:rsid w:val="00F611FA"/>
    <w:rsid w:val="00F61293"/>
    <w:rsid w:val="00F63B2C"/>
    <w:rsid w:val="00F64192"/>
    <w:rsid w:val="00F643AE"/>
    <w:rsid w:val="00F64C39"/>
    <w:rsid w:val="00F651EB"/>
    <w:rsid w:val="00F656BE"/>
    <w:rsid w:val="00F6573A"/>
    <w:rsid w:val="00F657A0"/>
    <w:rsid w:val="00F6593A"/>
    <w:rsid w:val="00F65C64"/>
    <w:rsid w:val="00F66C26"/>
    <w:rsid w:val="00F67092"/>
    <w:rsid w:val="00F67329"/>
    <w:rsid w:val="00F70194"/>
    <w:rsid w:val="00F709A2"/>
    <w:rsid w:val="00F71886"/>
    <w:rsid w:val="00F724DA"/>
    <w:rsid w:val="00F726FD"/>
    <w:rsid w:val="00F741BD"/>
    <w:rsid w:val="00F742A3"/>
    <w:rsid w:val="00F747D7"/>
    <w:rsid w:val="00F75EB8"/>
    <w:rsid w:val="00F80C91"/>
    <w:rsid w:val="00F82629"/>
    <w:rsid w:val="00F82BAA"/>
    <w:rsid w:val="00F8388D"/>
    <w:rsid w:val="00F842C4"/>
    <w:rsid w:val="00F843FC"/>
    <w:rsid w:val="00F870EC"/>
    <w:rsid w:val="00F8738D"/>
    <w:rsid w:val="00F87704"/>
    <w:rsid w:val="00F90CEF"/>
    <w:rsid w:val="00F91C6D"/>
    <w:rsid w:val="00F929EE"/>
    <w:rsid w:val="00F92C42"/>
    <w:rsid w:val="00F92D4A"/>
    <w:rsid w:val="00F9357C"/>
    <w:rsid w:val="00F9493B"/>
    <w:rsid w:val="00F94B3F"/>
    <w:rsid w:val="00F96D56"/>
    <w:rsid w:val="00F976B9"/>
    <w:rsid w:val="00F97DB5"/>
    <w:rsid w:val="00FA02A0"/>
    <w:rsid w:val="00FA1B06"/>
    <w:rsid w:val="00FA1EEA"/>
    <w:rsid w:val="00FA34DA"/>
    <w:rsid w:val="00FA5E5E"/>
    <w:rsid w:val="00FA6717"/>
    <w:rsid w:val="00FA7D3D"/>
    <w:rsid w:val="00FB017C"/>
    <w:rsid w:val="00FB1415"/>
    <w:rsid w:val="00FB2D88"/>
    <w:rsid w:val="00FB3F0B"/>
    <w:rsid w:val="00FB5C3A"/>
    <w:rsid w:val="00FB614F"/>
    <w:rsid w:val="00FB616B"/>
    <w:rsid w:val="00FC0F10"/>
    <w:rsid w:val="00FC200B"/>
    <w:rsid w:val="00FC3B1A"/>
    <w:rsid w:val="00FC590E"/>
    <w:rsid w:val="00FD0A83"/>
    <w:rsid w:val="00FD4030"/>
    <w:rsid w:val="00FD4919"/>
    <w:rsid w:val="00FD4FF3"/>
    <w:rsid w:val="00FD5360"/>
    <w:rsid w:val="00FD66FC"/>
    <w:rsid w:val="00FD7D0F"/>
    <w:rsid w:val="00FE0621"/>
    <w:rsid w:val="00FE0EB4"/>
    <w:rsid w:val="00FE2BCB"/>
    <w:rsid w:val="00FE2C48"/>
    <w:rsid w:val="00FE39EC"/>
    <w:rsid w:val="00FE447F"/>
    <w:rsid w:val="00FE7626"/>
    <w:rsid w:val="00FE7980"/>
    <w:rsid w:val="00FF06FA"/>
    <w:rsid w:val="00FF1B59"/>
    <w:rsid w:val="00FF2355"/>
    <w:rsid w:val="00FF360C"/>
    <w:rsid w:val="00FF4DA3"/>
    <w:rsid w:val="00FF5248"/>
    <w:rsid w:val="00FF54A3"/>
    <w:rsid w:val="00FF5E13"/>
    <w:rsid w:val="00FF616D"/>
    <w:rsid w:val="00FF645F"/>
    <w:rsid w:val="00FF6551"/>
    <w:rsid w:val="00FF65FE"/>
    <w:rsid w:val="00FF675E"/>
    <w:rsid w:val="00FF6A5D"/>
    <w:rsid w:val="00FF7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locked="1" w:semiHidden="1" w:unhideWhenUsed="1" w:qFormat="1"/>
    <w:lsdException w:name="annotation reference" w:uiPriority="99"/>
    <w:lsdException w:name="Title" w:locked="1" w:qFormat="1"/>
    <w:lsdException w:name="Subtitle" w:locked="1" w:qFormat="1"/>
    <w:lsdException w:name="Hyperlink" w:uiPriority="99"/>
    <w:lsdException w:name="Strong" w:locked="1" w:qFormat="1"/>
    <w:lsdException w:name="Emphasis" w:locked="1"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459C"/>
    <w:pPr>
      <w:spacing w:after="240"/>
      <w:jc w:val="both"/>
    </w:pPr>
    <w:rPr>
      <w:rFonts w:ascii="Arial" w:hAnsi="Arial"/>
      <w:lang w:eastAsia="en-US"/>
    </w:rPr>
  </w:style>
  <w:style w:type="paragraph" w:styleId="Heading1">
    <w:name w:val="heading 1"/>
    <w:basedOn w:val="Normal"/>
    <w:next w:val="Normal"/>
    <w:qFormat/>
    <w:rsid w:val="005D6535"/>
    <w:pPr>
      <w:keepNext/>
      <w:keepLines/>
      <w:numPr>
        <w:numId w:val="1"/>
      </w:numPr>
      <w:spacing w:before="360"/>
      <w:outlineLvl w:val="0"/>
    </w:pPr>
    <w:rPr>
      <w:b/>
      <w:caps/>
      <w:sz w:val="22"/>
      <w:szCs w:val="22"/>
    </w:rPr>
  </w:style>
  <w:style w:type="paragraph" w:styleId="Heading2">
    <w:name w:val="heading 2"/>
    <w:basedOn w:val="Normal"/>
    <w:next w:val="Normal"/>
    <w:qFormat/>
    <w:rsid w:val="00C14056"/>
    <w:pPr>
      <w:numPr>
        <w:ilvl w:val="1"/>
        <w:numId w:val="1"/>
      </w:numPr>
      <w:spacing w:before="240" w:after="120"/>
      <w:outlineLvl w:val="1"/>
    </w:pPr>
    <w:rPr>
      <w:b/>
    </w:rPr>
  </w:style>
  <w:style w:type="paragraph" w:styleId="Heading3">
    <w:name w:val="heading 3"/>
    <w:basedOn w:val="Normal"/>
    <w:next w:val="Normal"/>
    <w:link w:val="Heading3Char"/>
    <w:qFormat/>
    <w:rsid w:val="00E517DB"/>
    <w:pPr>
      <w:numPr>
        <w:ilvl w:val="2"/>
        <w:numId w:val="1"/>
      </w:numPr>
      <w:tabs>
        <w:tab w:val="clear" w:pos="862"/>
        <w:tab w:val="num" w:pos="720"/>
      </w:tabs>
      <w:spacing w:before="240" w:after="120"/>
      <w:ind w:left="720"/>
      <w:jc w:val="left"/>
      <w:outlineLvl w:val="2"/>
    </w:pPr>
    <w:rPr>
      <w:b/>
    </w:rPr>
  </w:style>
  <w:style w:type="paragraph" w:styleId="Heading4">
    <w:name w:val="heading 4"/>
    <w:basedOn w:val="Normal"/>
    <w:next w:val="Normal"/>
    <w:qFormat/>
    <w:rsid w:val="006A39A9"/>
    <w:pPr>
      <w:keepNext/>
      <w:keepLines/>
      <w:numPr>
        <w:ilvl w:val="3"/>
        <w:numId w:val="1"/>
      </w:numPr>
      <w:spacing w:before="120" w:after="120"/>
      <w:outlineLvl w:val="3"/>
    </w:pPr>
    <w:rPr>
      <w:b/>
    </w:rPr>
  </w:style>
  <w:style w:type="paragraph" w:styleId="Heading5">
    <w:name w:val="heading 5"/>
    <w:basedOn w:val="Normal"/>
    <w:next w:val="Normal"/>
    <w:link w:val="Heading5Char"/>
    <w:qFormat/>
    <w:rsid w:val="006B0C36"/>
    <w:pPr>
      <w:numPr>
        <w:ilvl w:val="4"/>
        <w:numId w:val="1"/>
      </w:numPr>
      <w:spacing w:before="120" w:after="120"/>
      <w:outlineLvl w:val="4"/>
    </w:pPr>
    <w:rPr>
      <w:b/>
    </w:rPr>
  </w:style>
  <w:style w:type="paragraph" w:styleId="Heading6">
    <w:name w:val="heading 6"/>
    <w:basedOn w:val="Normal"/>
    <w:next w:val="Normal"/>
    <w:qFormat/>
    <w:rsid w:val="006B0C36"/>
    <w:pPr>
      <w:numPr>
        <w:ilvl w:val="5"/>
        <w:numId w:val="1"/>
      </w:numPr>
      <w:spacing w:before="120" w:after="120"/>
      <w:outlineLvl w:val="5"/>
    </w:pPr>
    <w:rPr>
      <w:i/>
      <w:sz w:val="22"/>
    </w:rPr>
  </w:style>
  <w:style w:type="paragraph" w:styleId="Heading7">
    <w:name w:val="heading 7"/>
    <w:basedOn w:val="Normal"/>
    <w:next w:val="Normal"/>
    <w:qFormat/>
    <w:rsid w:val="006B0C36"/>
    <w:pPr>
      <w:numPr>
        <w:ilvl w:val="6"/>
        <w:numId w:val="1"/>
      </w:numPr>
      <w:spacing w:before="120" w:after="120"/>
      <w:outlineLvl w:val="6"/>
    </w:pPr>
  </w:style>
  <w:style w:type="paragraph" w:styleId="Heading8">
    <w:name w:val="heading 8"/>
    <w:basedOn w:val="Normal"/>
    <w:next w:val="Normal"/>
    <w:qFormat/>
    <w:rsid w:val="006B0C36"/>
    <w:pPr>
      <w:numPr>
        <w:ilvl w:val="7"/>
        <w:numId w:val="1"/>
      </w:numPr>
      <w:spacing w:before="120" w:after="120"/>
      <w:outlineLvl w:val="7"/>
    </w:pPr>
    <w:rPr>
      <w:i/>
    </w:rPr>
  </w:style>
  <w:style w:type="paragraph" w:styleId="Heading9">
    <w:name w:val="heading 9"/>
    <w:basedOn w:val="Normal"/>
    <w:next w:val="Normal"/>
    <w:qFormat/>
    <w:rsid w:val="006B0C36"/>
    <w:pPr>
      <w:numPr>
        <w:ilvl w:val="8"/>
        <w:numId w:val="1"/>
      </w:numPr>
      <w:spacing w:before="120" w:after="12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RPOMinutes1">
    <w:name w:val="MRPO Minutes 1"/>
    <w:basedOn w:val="Normal"/>
    <w:next w:val="MRPOMinutes2"/>
    <w:rsid w:val="00E2330F"/>
    <w:pPr>
      <w:numPr>
        <w:numId w:val="2"/>
      </w:numPr>
      <w:spacing w:before="240"/>
    </w:pPr>
    <w:rPr>
      <w:b/>
    </w:rPr>
  </w:style>
  <w:style w:type="paragraph" w:customStyle="1" w:styleId="MRPOMinutes2">
    <w:name w:val="MRPO Minutes 2"/>
    <w:basedOn w:val="Normal"/>
    <w:rsid w:val="00E2330F"/>
    <w:pPr>
      <w:numPr>
        <w:ilvl w:val="1"/>
        <w:numId w:val="2"/>
      </w:numPr>
    </w:pPr>
  </w:style>
  <w:style w:type="paragraph" w:customStyle="1" w:styleId="MRPOMinutes3">
    <w:name w:val="MRPO Minutes 3"/>
    <w:basedOn w:val="Normal"/>
    <w:rsid w:val="00E2330F"/>
    <w:pPr>
      <w:numPr>
        <w:ilvl w:val="2"/>
        <w:numId w:val="2"/>
      </w:numPr>
    </w:pPr>
  </w:style>
  <w:style w:type="paragraph" w:customStyle="1" w:styleId="MRPOMinutes4">
    <w:name w:val="MRPO Minutes 4"/>
    <w:basedOn w:val="Normal"/>
    <w:rsid w:val="00E2330F"/>
    <w:pPr>
      <w:numPr>
        <w:ilvl w:val="3"/>
        <w:numId w:val="2"/>
      </w:numPr>
    </w:pPr>
  </w:style>
  <w:style w:type="paragraph" w:styleId="Header">
    <w:name w:val="header"/>
    <w:basedOn w:val="Normal"/>
    <w:rsid w:val="001441F7"/>
    <w:pPr>
      <w:tabs>
        <w:tab w:val="center" w:pos="4153"/>
        <w:tab w:val="right" w:pos="8306"/>
      </w:tabs>
    </w:pPr>
  </w:style>
  <w:style w:type="paragraph" w:styleId="Footer">
    <w:name w:val="footer"/>
    <w:basedOn w:val="Normal"/>
    <w:rsid w:val="001441F7"/>
    <w:pPr>
      <w:tabs>
        <w:tab w:val="center" w:pos="4153"/>
        <w:tab w:val="right" w:pos="8306"/>
      </w:tabs>
    </w:pPr>
  </w:style>
  <w:style w:type="paragraph" w:customStyle="1" w:styleId="MRPOOrange">
    <w:name w:val="MRPO Orange"/>
    <w:basedOn w:val="Normal"/>
    <w:rsid w:val="00E2330F"/>
    <w:rPr>
      <w:color w:val="FF7F08"/>
    </w:rPr>
  </w:style>
  <w:style w:type="paragraph" w:customStyle="1" w:styleId="MRPOMinutes5">
    <w:name w:val="MRPO Minutes 5"/>
    <w:basedOn w:val="Normal"/>
    <w:rsid w:val="00E2330F"/>
    <w:pPr>
      <w:numPr>
        <w:ilvl w:val="4"/>
        <w:numId w:val="2"/>
      </w:numPr>
    </w:pPr>
  </w:style>
  <w:style w:type="character" w:styleId="CommentReference">
    <w:name w:val="annotation reference"/>
    <w:uiPriority w:val="99"/>
    <w:semiHidden/>
    <w:rsid w:val="009C5E80"/>
    <w:rPr>
      <w:rFonts w:cs="Times New Roman"/>
      <w:sz w:val="16"/>
      <w:szCs w:val="16"/>
    </w:rPr>
  </w:style>
  <w:style w:type="paragraph" w:styleId="CommentText">
    <w:name w:val="annotation text"/>
    <w:basedOn w:val="Normal"/>
    <w:link w:val="CommentTextChar"/>
    <w:uiPriority w:val="99"/>
    <w:semiHidden/>
    <w:rsid w:val="009C5E80"/>
    <w:pPr>
      <w:spacing w:after="0"/>
    </w:pPr>
  </w:style>
  <w:style w:type="character" w:styleId="Hyperlink">
    <w:name w:val="Hyperlink"/>
    <w:uiPriority w:val="99"/>
    <w:rsid w:val="006B0F1B"/>
    <w:rPr>
      <w:rFonts w:cs="Times New Roman"/>
      <w:color w:val="0000FF"/>
      <w:u w:val="single"/>
    </w:rPr>
  </w:style>
  <w:style w:type="paragraph" w:styleId="BalloonText">
    <w:name w:val="Balloon Text"/>
    <w:basedOn w:val="Normal"/>
    <w:semiHidden/>
    <w:rsid w:val="009C5E80"/>
    <w:rPr>
      <w:rFonts w:ascii="Tahoma" w:hAnsi="Tahoma" w:cs="Tahoma"/>
      <w:sz w:val="16"/>
      <w:szCs w:val="16"/>
    </w:rPr>
  </w:style>
  <w:style w:type="paragraph" w:styleId="TOC1">
    <w:name w:val="toc 1"/>
    <w:basedOn w:val="Normal"/>
    <w:next w:val="Normal"/>
    <w:autoRedefine/>
    <w:uiPriority w:val="39"/>
    <w:rsid w:val="00D64309"/>
    <w:pPr>
      <w:spacing w:before="360" w:after="0"/>
    </w:pPr>
    <w:rPr>
      <w:b/>
      <w:bCs/>
      <w:caps/>
      <w:szCs w:val="24"/>
    </w:rPr>
  </w:style>
  <w:style w:type="paragraph" w:styleId="TOC2">
    <w:name w:val="toc 2"/>
    <w:basedOn w:val="Normal"/>
    <w:next w:val="Normal"/>
    <w:autoRedefine/>
    <w:uiPriority w:val="39"/>
    <w:rsid w:val="00354BF8"/>
    <w:pPr>
      <w:spacing w:before="240" w:after="0"/>
      <w:jc w:val="left"/>
    </w:pPr>
    <w:rPr>
      <w:b/>
      <w:bCs/>
    </w:rPr>
  </w:style>
  <w:style w:type="paragraph" w:styleId="TOC3">
    <w:name w:val="toc 3"/>
    <w:basedOn w:val="Normal"/>
    <w:next w:val="Normal"/>
    <w:autoRedefine/>
    <w:uiPriority w:val="39"/>
    <w:rsid w:val="00EF42CF"/>
    <w:pPr>
      <w:tabs>
        <w:tab w:val="left" w:pos="1000"/>
        <w:tab w:val="right" w:leader="dot" w:pos="9019"/>
      </w:tabs>
      <w:spacing w:after="0"/>
      <w:ind w:left="200"/>
    </w:pPr>
  </w:style>
  <w:style w:type="paragraph" w:customStyle="1" w:styleId="Bullets">
    <w:name w:val="Bullets"/>
    <w:basedOn w:val="Normal"/>
    <w:rsid w:val="00D9450C"/>
    <w:pPr>
      <w:numPr>
        <w:numId w:val="27"/>
      </w:numPr>
      <w:spacing w:after="0"/>
    </w:pPr>
  </w:style>
  <w:style w:type="character" w:styleId="FootnoteReference">
    <w:name w:val="footnote reference"/>
    <w:semiHidden/>
    <w:rsid w:val="0054377B"/>
    <w:rPr>
      <w:rFonts w:cs="Times New Roman"/>
      <w:vertAlign w:val="superscript"/>
    </w:rPr>
  </w:style>
  <w:style w:type="paragraph" w:styleId="NormalIndent">
    <w:name w:val="Normal Indent"/>
    <w:basedOn w:val="Normal"/>
    <w:rsid w:val="00D83B64"/>
    <w:pPr>
      <w:spacing w:after="120"/>
      <w:ind w:left="720"/>
      <w:jc w:val="left"/>
    </w:pPr>
  </w:style>
  <w:style w:type="paragraph" w:styleId="BodyText">
    <w:name w:val="Body Text"/>
    <w:basedOn w:val="Normal"/>
    <w:rsid w:val="00D83B64"/>
    <w:pPr>
      <w:spacing w:after="0"/>
      <w:jc w:val="left"/>
    </w:pPr>
    <w:rPr>
      <w:rFonts w:cs="Arial"/>
      <w:szCs w:val="24"/>
    </w:rPr>
  </w:style>
  <w:style w:type="table" w:styleId="TableGrid">
    <w:name w:val="Table Grid"/>
    <w:basedOn w:val="TableNormal"/>
    <w:uiPriority w:val="59"/>
    <w:rsid w:val="00D83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basedOn w:val="Normal"/>
    <w:rsid w:val="00EF4970"/>
    <w:pPr>
      <w:numPr>
        <w:ilvl w:val="1"/>
        <w:numId w:val="3"/>
      </w:numPr>
      <w:tabs>
        <w:tab w:val="left" w:pos="-2835"/>
        <w:tab w:val="num" w:pos="851"/>
      </w:tabs>
      <w:spacing w:after="0"/>
      <w:ind w:left="851"/>
    </w:pPr>
  </w:style>
  <w:style w:type="paragraph" w:styleId="CommentSubject">
    <w:name w:val="annotation subject"/>
    <w:basedOn w:val="CommentText"/>
    <w:next w:val="CommentText"/>
    <w:semiHidden/>
    <w:rsid w:val="00571C02"/>
    <w:pPr>
      <w:spacing w:after="240"/>
    </w:pPr>
    <w:rPr>
      <w:b/>
      <w:bCs/>
    </w:rPr>
  </w:style>
  <w:style w:type="paragraph" w:customStyle="1" w:styleId="LetterList">
    <w:name w:val="Letter List"/>
    <w:basedOn w:val="Heading1"/>
    <w:rsid w:val="00B05034"/>
    <w:pPr>
      <w:keepNext w:val="0"/>
      <w:keepLines w:val="0"/>
      <w:pageBreakBefore/>
      <w:numPr>
        <w:numId w:val="0"/>
      </w:numPr>
      <w:tabs>
        <w:tab w:val="num" w:pos="1440"/>
      </w:tabs>
      <w:spacing w:after="0"/>
      <w:ind w:left="1440" w:hanging="720"/>
      <w:jc w:val="left"/>
    </w:pPr>
    <w:rPr>
      <w:b w:val="0"/>
      <w:caps w:val="0"/>
      <w:kern w:val="28"/>
      <w:szCs w:val="20"/>
      <w:lang w:eastAsia="en-GB"/>
    </w:rPr>
  </w:style>
  <w:style w:type="paragraph" w:customStyle="1" w:styleId="PARTS">
    <w:name w:val="PARTS"/>
    <w:basedOn w:val="Normal"/>
    <w:rsid w:val="00445F85"/>
    <w:pPr>
      <w:jc w:val="center"/>
    </w:pPr>
    <w:rPr>
      <w:b/>
      <w:sz w:val="28"/>
    </w:rPr>
  </w:style>
  <w:style w:type="paragraph" w:styleId="BodyText2">
    <w:name w:val="Body Text 2"/>
    <w:basedOn w:val="Normal"/>
    <w:rsid w:val="00140143"/>
    <w:pPr>
      <w:spacing w:after="120" w:line="480" w:lineRule="auto"/>
    </w:pPr>
  </w:style>
  <w:style w:type="paragraph" w:styleId="BodyText3">
    <w:name w:val="Body Text 3"/>
    <w:basedOn w:val="Normal"/>
    <w:rsid w:val="00140143"/>
    <w:pPr>
      <w:spacing w:after="120"/>
    </w:pPr>
    <w:rPr>
      <w:sz w:val="16"/>
      <w:szCs w:val="16"/>
    </w:rPr>
  </w:style>
  <w:style w:type="paragraph" w:customStyle="1" w:styleId="Appendix">
    <w:name w:val="Appendix"/>
    <w:basedOn w:val="Heading1"/>
    <w:rsid w:val="00C31B83"/>
    <w:pPr>
      <w:keepLines w:val="0"/>
      <w:pageBreakBefore/>
      <w:numPr>
        <w:numId w:val="0"/>
      </w:numPr>
      <w:shd w:val="clear" w:color="auto" w:fill="CCECFF"/>
      <w:tabs>
        <w:tab w:val="left" w:pos="720"/>
      </w:tabs>
      <w:spacing w:before="0" w:after="120"/>
      <w:ind w:left="720"/>
      <w:jc w:val="left"/>
    </w:pPr>
    <w:rPr>
      <w:caps w:val="0"/>
      <w:noProof/>
      <w:sz w:val="32"/>
      <w:szCs w:val="32"/>
    </w:rPr>
  </w:style>
  <w:style w:type="paragraph" w:styleId="TOC4">
    <w:name w:val="toc 4"/>
    <w:basedOn w:val="Normal"/>
    <w:next w:val="Normal"/>
    <w:autoRedefine/>
    <w:uiPriority w:val="39"/>
    <w:rsid w:val="00EF42CF"/>
    <w:pPr>
      <w:spacing w:after="0"/>
      <w:ind w:left="400"/>
      <w:jc w:val="left"/>
    </w:pPr>
  </w:style>
  <w:style w:type="paragraph" w:styleId="TOC5">
    <w:name w:val="toc 5"/>
    <w:basedOn w:val="Normal"/>
    <w:next w:val="Normal"/>
    <w:autoRedefine/>
    <w:uiPriority w:val="39"/>
    <w:rsid w:val="00EF42CF"/>
    <w:pPr>
      <w:spacing w:after="0"/>
      <w:ind w:left="600"/>
      <w:jc w:val="left"/>
    </w:pPr>
  </w:style>
  <w:style w:type="paragraph" w:styleId="TOC6">
    <w:name w:val="toc 6"/>
    <w:basedOn w:val="Normal"/>
    <w:next w:val="Normal"/>
    <w:autoRedefine/>
    <w:uiPriority w:val="39"/>
    <w:rsid w:val="005909BB"/>
    <w:pPr>
      <w:spacing w:after="0"/>
      <w:ind w:left="800"/>
      <w:jc w:val="left"/>
    </w:pPr>
    <w:rPr>
      <w:rFonts w:ascii="Calibri" w:hAnsi="Calibri"/>
    </w:rPr>
  </w:style>
  <w:style w:type="paragraph" w:styleId="TOC7">
    <w:name w:val="toc 7"/>
    <w:basedOn w:val="Normal"/>
    <w:next w:val="Normal"/>
    <w:autoRedefine/>
    <w:uiPriority w:val="39"/>
    <w:rsid w:val="005909BB"/>
    <w:pPr>
      <w:spacing w:after="0"/>
      <w:ind w:left="1000"/>
      <w:jc w:val="left"/>
    </w:pPr>
    <w:rPr>
      <w:rFonts w:ascii="Calibri" w:hAnsi="Calibri"/>
    </w:rPr>
  </w:style>
  <w:style w:type="paragraph" w:styleId="TOC8">
    <w:name w:val="toc 8"/>
    <w:basedOn w:val="Normal"/>
    <w:next w:val="Normal"/>
    <w:autoRedefine/>
    <w:uiPriority w:val="39"/>
    <w:rsid w:val="005909BB"/>
    <w:pPr>
      <w:spacing w:after="0"/>
      <w:ind w:left="1200"/>
      <w:jc w:val="left"/>
    </w:pPr>
    <w:rPr>
      <w:rFonts w:ascii="Calibri" w:hAnsi="Calibri"/>
    </w:rPr>
  </w:style>
  <w:style w:type="paragraph" w:styleId="TOC9">
    <w:name w:val="toc 9"/>
    <w:basedOn w:val="Normal"/>
    <w:next w:val="Normal"/>
    <w:autoRedefine/>
    <w:uiPriority w:val="39"/>
    <w:rsid w:val="005909BB"/>
    <w:pPr>
      <w:spacing w:after="0"/>
      <w:ind w:left="1400"/>
      <w:jc w:val="left"/>
    </w:pPr>
    <w:rPr>
      <w:rFonts w:ascii="Calibri" w:hAnsi="Calibri"/>
    </w:rPr>
  </w:style>
  <w:style w:type="table" w:styleId="TableList1">
    <w:name w:val="Table List 1"/>
    <w:basedOn w:val="TableNormal"/>
    <w:rsid w:val="00A75098"/>
    <w:pPr>
      <w:spacing w:after="24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FiveStages">
    <w:name w:val="Five Stages"/>
    <w:basedOn w:val="Heading2"/>
    <w:next w:val="Normal"/>
    <w:rsid w:val="00BE3F90"/>
    <w:rPr>
      <w:smallCaps/>
      <w:u w:val="single"/>
    </w:rPr>
  </w:style>
  <w:style w:type="character" w:styleId="FollowedHyperlink">
    <w:name w:val="FollowedHyperlink"/>
    <w:rsid w:val="00157EF4"/>
    <w:rPr>
      <w:rFonts w:cs="Times New Roman"/>
      <w:color w:val="800080"/>
      <w:u w:val="single"/>
    </w:rPr>
  </w:style>
  <w:style w:type="character" w:customStyle="1" w:styleId="Heading3Char">
    <w:name w:val="Heading 3 Char"/>
    <w:link w:val="Heading3"/>
    <w:locked/>
    <w:rsid w:val="00E517DB"/>
    <w:rPr>
      <w:rFonts w:ascii="Arial" w:hAnsi="Arial"/>
      <w:b/>
      <w:lang w:eastAsia="en-US"/>
    </w:rPr>
  </w:style>
  <w:style w:type="character" w:customStyle="1" w:styleId="Heading5Char">
    <w:name w:val="Heading 5 Char"/>
    <w:link w:val="Heading5"/>
    <w:locked/>
    <w:rsid w:val="002124FA"/>
    <w:rPr>
      <w:rFonts w:ascii="Arial" w:hAnsi="Arial"/>
      <w:b/>
      <w:lang w:eastAsia="en-US"/>
    </w:rPr>
  </w:style>
  <w:style w:type="paragraph" w:styleId="Title">
    <w:name w:val="Title"/>
    <w:basedOn w:val="Normal"/>
    <w:next w:val="NormalIndent"/>
    <w:qFormat/>
    <w:rsid w:val="002268B0"/>
    <w:pPr>
      <w:keepNext/>
      <w:keepLines/>
      <w:overflowPunct w:val="0"/>
      <w:autoSpaceDE w:val="0"/>
      <w:autoSpaceDN w:val="0"/>
      <w:adjustRightInd w:val="0"/>
      <w:jc w:val="center"/>
      <w:textAlignment w:val="baseline"/>
    </w:pPr>
    <w:rPr>
      <w:rFonts w:cs="Arial"/>
      <w:b/>
      <w:bCs/>
      <w:kern w:val="28"/>
      <w:sz w:val="24"/>
      <w:szCs w:val="24"/>
    </w:rPr>
  </w:style>
  <w:style w:type="paragraph" w:styleId="PlainText">
    <w:name w:val="Plain Text"/>
    <w:basedOn w:val="Normal"/>
    <w:rsid w:val="00CB66F9"/>
    <w:pPr>
      <w:spacing w:after="0"/>
      <w:jc w:val="left"/>
    </w:pPr>
    <w:rPr>
      <w:rFonts w:ascii="Courier New" w:hAnsi="Courier New" w:cs="Courier New"/>
      <w:lang w:eastAsia="en-GB"/>
    </w:rPr>
  </w:style>
  <w:style w:type="paragraph" w:styleId="ListParagraph">
    <w:name w:val="List Paragraph"/>
    <w:basedOn w:val="Normal"/>
    <w:uiPriority w:val="34"/>
    <w:qFormat/>
    <w:rsid w:val="00CB3C83"/>
    <w:pPr>
      <w:spacing w:after="200" w:line="276" w:lineRule="auto"/>
      <w:ind w:left="720"/>
      <w:contextualSpacing/>
      <w:jc w:val="left"/>
    </w:pPr>
    <w:rPr>
      <w:rFonts w:ascii="Calibri" w:hAnsi="Calibri"/>
      <w:sz w:val="22"/>
      <w:szCs w:val="22"/>
    </w:rPr>
  </w:style>
  <w:style w:type="character" w:styleId="PageNumber">
    <w:name w:val="page number"/>
    <w:rsid w:val="00953A0A"/>
    <w:rPr>
      <w:rFonts w:cs="Times New Roman"/>
    </w:rPr>
  </w:style>
  <w:style w:type="character" w:styleId="Strong">
    <w:name w:val="Strong"/>
    <w:qFormat/>
    <w:rsid w:val="006A08A7"/>
    <w:rPr>
      <w:rFonts w:cs="Times New Roman"/>
      <w:b/>
      <w:bCs/>
    </w:rPr>
  </w:style>
  <w:style w:type="paragraph" w:styleId="BodyTextIndent2">
    <w:name w:val="Body Text Indent 2"/>
    <w:basedOn w:val="Normal"/>
    <w:rsid w:val="005F34CB"/>
    <w:pPr>
      <w:spacing w:after="120" w:line="480" w:lineRule="auto"/>
      <w:ind w:left="283"/>
    </w:pPr>
  </w:style>
  <w:style w:type="paragraph" w:customStyle="1" w:styleId="xchangingbody">
    <w:name w:val="xchangingbody"/>
    <w:basedOn w:val="Normal"/>
    <w:rsid w:val="007E450F"/>
    <w:pPr>
      <w:spacing w:before="120" w:after="200" w:line="300" w:lineRule="auto"/>
      <w:ind w:left="737"/>
      <w:jc w:val="left"/>
    </w:pPr>
    <w:rPr>
      <w:rFonts w:ascii="Calibri" w:eastAsia="SimSun" w:hAnsi="Calibri"/>
      <w:sz w:val="22"/>
      <w:szCs w:val="22"/>
      <w:lang w:eastAsia="zh-CN"/>
    </w:rPr>
  </w:style>
  <w:style w:type="paragraph" w:customStyle="1" w:styleId="appendix1">
    <w:name w:val="appendix1"/>
    <w:basedOn w:val="Normal"/>
    <w:rsid w:val="007E450F"/>
    <w:pPr>
      <w:keepNext/>
      <w:pageBreakBefore/>
      <w:spacing w:before="240" w:after="120"/>
      <w:jc w:val="left"/>
    </w:pPr>
    <w:rPr>
      <w:rFonts w:eastAsia="SimSun" w:cs="Arial"/>
      <w:b/>
      <w:bCs/>
      <w:sz w:val="28"/>
      <w:szCs w:val="28"/>
      <w:lang w:eastAsia="zh-CN"/>
    </w:rPr>
  </w:style>
  <w:style w:type="character" w:customStyle="1" w:styleId="CommentTextChar">
    <w:name w:val="Comment Text Char"/>
    <w:link w:val="CommentText"/>
    <w:uiPriority w:val="99"/>
    <w:semiHidden/>
    <w:rsid w:val="00037255"/>
    <w:rPr>
      <w:rFonts w:ascii="Arial" w:hAnsi="Arial"/>
    </w:rPr>
  </w:style>
  <w:style w:type="paragraph" w:styleId="TOCHeading">
    <w:name w:val="TOC Heading"/>
    <w:basedOn w:val="Heading1"/>
    <w:next w:val="Normal"/>
    <w:uiPriority w:val="39"/>
    <w:semiHidden/>
    <w:unhideWhenUsed/>
    <w:qFormat/>
    <w:rsid w:val="00DA5F22"/>
    <w:pPr>
      <w:numPr>
        <w:numId w:val="0"/>
      </w:numPr>
      <w:spacing w:before="480" w:after="0" w:line="276" w:lineRule="auto"/>
      <w:jc w:val="left"/>
      <w:outlineLvl w:val="9"/>
    </w:pPr>
    <w:rPr>
      <w:rFonts w:ascii="Cambria" w:hAnsi="Cambria"/>
      <w:bCs/>
      <w:caps w:val="0"/>
      <w:color w:val="365F91"/>
      <w:sz w:val="28"/>
      <w:szCs w:val="28"/>
      <w:lang w:val="en-US"/>
    </w:rPr>
  </w:style>
  <w:style w:type="paragraph" w:styleId="Revision">
    <w:name w:val="Revision"/>
    <w:hidden/>
    <w:uiPriority w:val="99"/>
    <w:semiHidden/>
    <w:rsid w:val="0005262F"/>
    <w:rPr>
      <w:rFonts w:ascii="Arial" w:hAnsi="Arial"/>
      <w:lang w:eastAsia="en-US"/>
    </w:rPr>
  </w:style>
  <w:style w:type="paragraph" w:styleId="NormalWeb">
    <w:name w:val="Normal (Web)"/>
    <w:basedOn w:val="Normal"/>
    <w:uiPriority w:val="99"/>
    <w:unhideWhenUsed/>
    <w:rsid w:val="00336CAD"/>
    <w:pPr>
      <w:spacing w:before="100" w:beforeAutospacing="1" w:after="100" w:afterAutospacing="1"/>
      <w:jc w:val="left"/>
    </w:pPr>
    <w:rPr>
      <w:rFonts w:ascii="Times New Roman" w:eastAsiaTheme="minorEastAsia" w:hAnsi="Times New Roman"/>
      <w:sz w:val="24"/>
      <w:szCs w:val="24"/>
      <w:lang w:eastAsia="en-GB"/>
    </w:rPr>
  </w:style>
  <w:style w:type="character" w:styleId="Emphasis">
    <w:name w:val="Emphasis"/>
    <w:basedOn w:val="DefaultParagraphFont"/>
    <w:qFormat/>
    <w:locked/>
    <w:rsid w:val="009A1D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locked="1" w:semiHidden="1" w:unhideWhenUsed="1" w:qFormat="1"/>
    <w:lsdException w:name="annotation reference" w:uiPriority="99"/>
    <w:lsdException w:name="Title" w:locked="1" w:qFormat="1"/>
    <w:lsdException w:name="Subtitle" w:locked="1" w:qFormat="1"/>
    <w:lsdException w:name="Hyperlink" w:uiPriority="99"/>
    <w:lsdException w:name="Strong" w:locked="1" w:qFormat="1"/>
    <w:lsdException w:name="Emphasis" w:locked="1"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459C"/>
    <w:pPr>
      <w:spacing w:after="240"/>
      <w:jc w:val="both"/>
    </w:pPr>
    <w:rPr>
      <w:rFonts w:ascii="Arial" w:hAnsi="Arial"/>
      <w:lang w:eastAsia="en-US"/>
    </w:rPr>
  </w:style>
  <w:style w:type="paragraph" w:styleId="Heading1">
    <w:name w:val="heading 1"/>
    <w:basedOn w:val="Normal"/>
    <w:next w:val="Normal"/>
    <w:qFormat/>
    <w:rsid w:val="005D6535"/>
    <w:pPr>
      <w:keepNext/>
      <w:keepLines/>
      <w:numPr>
        <w:numId w:val="1"/>
      </w:numPr>
      <w:spacing w:before="360"/>
      <w:outlineLvl w:val="0"/>
    </w:pPr>
    <w:rPr>
      <w:b/>
      <w:caps/>
      <w:sz w:val="22"/>
      <w:szCs w:val="22"/>
    </w:rPr>
  </w:style>
  <w:style w:type="paragraph" w:styleId="Heading2">
    <w:name w:val="heading 2"/>
    <w:basedOn w:val="Normal"/>
    <w:next w:val="Normal"/>
    <w:qFormat/>
    <w:rsid w:val="00C14056"/>
    <w:pPr>
      <w:numPr>
        <w:ilvl w:val="1"/>
        <w:numId w:val="1"/>
      </w:numPr>
      <w:spacing w:before="240" w:after="120"/>
      <w:outlineLvl w:val="1"/>
    </w:pPr>
    <w:rPr>
      <w:b/>
    </w:rPr>
  </w:style>
  <w:style w:type="paragraph" w:styleId="Heading3">
    <w:name w:val="heading 3"/>
    <w:basedOn w:val="Normal"/>
    <w:next w:val="Normal"/>
    <w:link w:val="Heading3Char"/>
    <w:qFormat/>
    <w:rsid w:val="00E517DB"/>
    <w:pPr>
      <w:numPr>
        <w:ilvl w:val="2"/>
        <w:numId w:val="1"/>
      </w:numPr>
      <w:tabs>
        <w:tab w:val="clear" w:pos="862"/>
        <w:tab w:val="num" w:pos="720"/>
      </w:tabs>
      <w:spacing w:before="240" w:after="120"/>
      <w:ind w:left="720"/>
      <w:jc w:val="left"/>
      <w:outlineLvl w:val="2"/>
    </w:pPr>
    <w:rPr>
      <w:b/>
    </w:rPr>
  </w:style>
  <w:style w:type="paragraph" w:styleId="Heading4">
    <w:name w:val="heading 4"/>
    <w:basedOn w:val="Normal"/>
    <w:next w:val="Normal"/>
    <w:qFormat/>
    <w:rsid w:val="006A39A9"/>
    <w:pPr>
      <w:keepNext/>
      <w:keepLines/>
      <w:numPr>
        <w:ilvl w:val="3"/>
        <w:numId w:val="1"/>
      </w:numPr>
      <w:spacing w:before="120" w:after="120"/>
      <w:outlineLvl w:val="3"/>
    </w:pPr>
    <w:rPr>
      <w:b/>
    </w:rPr>
  </w:style>
  <w:style w:type="paragraph" w:styleId="Heading5">
    <w:name w:val="heading 5"/>
    <w:basedOn w:val="Normal"/>
    <w:next w:val="Normal"/>
    <w:link w:val="Heading5Char"/>
    <w:qFormat/>
    <w:rsid w:val="006B0C36"/>
    <w:pPr>
      <w:numPr>
        <w:ilvl w:val="4"/>
        <w:numId w:val="1"/>
      </w:numPr>
      <w:spacing w:before="120" w:after="120"/>
      <w:outlineLvl w:val="4"/>
    </w:pPr>
    <w:rPr>
      <w:b/>
    </w:rPr>
  </w:style>
  <w:style w:type="paragraph" w:styleId="Heading6">
    <w:name w:val="heading 6"/>
    <w:basedOn w:val="Normal"/>
    <w:next w:val="Normal"/>
    <w:qFormat/>
    <w:rsid w:val="006B0C36"/>
    <w:pPr>
      <w:numPr>
        <w:ilvl w:val="5"/>
        <w:numId w:val="1"/>
      </w:numPr>
      <w:spacing w:before="120" w:after="120"/>
      <w:outlineLvl w:val="5"/>
    </w:pPr>
    <w:rPr>
      <w:i/>
      <w:sz w:val="22"/>
    </w:rPr>
  </w:style>
  <w:style w:type="paragraph" w:styleId="Heading7">
    <w:name w:val="heading 7"/>
    <w:basedOn w:val="Normal"/>
    <w:next w:val="Normal"/>
    <w:qFormat/>
    <w:rsid w:val="006B0C36"/>
    <w:pPr>
      <w:numPr>
        <w:ilvl w:val="6"/>
        <w:numId w:val="1"/>
      </w:numPr>
      <w:spacing w:before="120" w:after="120"/>
      <w:outlineLvl w:val="6"/>
    </w:pPr>
  </w:style>
  <w:style w:type="paragraph" w:styleId="Heading8">
    <w:name w:val="heading 8"/>
    <w:basedOn w:val="Normal"/>
    <w:next w:val="Normal"/>
    <w:qFormat/>
    <w:rsid w:val="006B0C36"/>
    <w:pPr>
      <w:numPr>
        <w:ilvl w:val="7"/>
        <w:numId w:val="1"/>
      </w:numPr>
      <w:spacing w:before="120" w:after="120"/>
      <w:outlineLvl w:val="7"/>
    </w:pPr>
    <w:rPr>
      <w:i/>
    </w:rPr>
  </w:style>
  <w:style w:type="paragraph" w:styleId="Heading9">
    <w:name w:val="heading 9"/>
    <w:basedOn w:val="Normal"/>
    <w:next w:val="Normal"/>
    <w:qFormat/>
    <w:rsid w:val="006B0C36"/>
    <w:pPr>
      <w:numPr>
        <w:ilvl w:val="8"/>
        <w:numId w:val="1"/>
      </w:numPr>
      <w:spacing w:before="120" w:after="12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RPOMinutes1">
    <w:name w:val="MRPO Minutes 1"/>
    <w:basedOn w:val="Normal"/>
    <w:next w:val="MRPOMinutes2"/>
    <w:rsid w:val="00E2330F"/>
    <w:pPr>
      <w:numPr>
        <w:numId w:val="2"/>
      </w:numPr>
      <w:spacing w:before="240"/>
    </w:pPr>
    <w:rPr>
      <w:b/>
    </w:rPr>
  </w:style>
  <w:style w:type="paragraph" w:customStyle="1" w:styleId="MRPOMinutes2">
    <w:name w:val="MRPO Minutes 2"/>
    <w:basedOn w:val="Normal"/>
    <w:rsid w:val="00E2330F"/>
    <w:pPr>
      <w:numPr>
        <w:ilvl w:val="1"/>
        <w:numId w:val="2"/>
      </w:numPr>
    </w:pPr>
  </w:style>
  <w:style w:type="paragraph" w:customStyle="1" w:styleId="MRPOMinutes3">
    <w:name w:val="MRPO Minutes 3"/>
    <w:basedOn w:val="Normal"/>
    <w:rsid w:val="00E2330F"/>
    <w:pPr>
      <w:numPr>
        <w:ilvl w:val="2"/>
        <w:numId w:val="2"/>
      </w:numPr>
    </w:pPr>
  </w:style>
  <w:style w:type="paragraph" w:customStyle="1" w:styleId="MRPOMinutes4">
    <w:name w:val="MRPO Minutes 4"/>
    <w:basedOn w:val="Normal"/>
    <w:rsid w:val="00E2330F"/>
    <w:pPr>
      <w:numPr>
        <w:ilvl w:val="3"/>
        <w:numId w:val="2"/>
      </w:numPr>
    </w:pPr>
  </w:style>
  <w:style w:type="paragraph" w:styleId="Header">
    <w:name w:val="header"/>
    <w:basedOn w:val="Normal"/>
    <w:rsid w:val="001441F7"/>
    <w:pPr>
      <w:tabs>
        <w:tab w:val="center" w:pos="4153"/>
        <w:tab w:val="right" w:pos="8306"/>
      </w:tabs>
    </w:pPr>
  </w:style>
  <w:style w:type="paragraph" w:styleId="Footer">
    <w:name w:val="footer"/>
    <w:basedOn w:val="Normal"/>
    <w:rsid w:val="001441F7"/>
    <w:pPr>
      <w:tabs>
        <w:tab w:val="center" w:pos="4153"/>
        <w:tab w:val="right" w:pos="8306"/>
      </w:tabs>
    </w:pPr>
  </w:style>
  <w:style w:type="paragraph" w:customStyle="1" w:styleId="MRPOOrange">
    <w:name w:val="MRPO Orange"/>
    <w:basedOn w:val="Normal"/>
    <w:rsid w:val="00E2330F"/>
    <w:rPr>
      <w:color w:val="FF7F08"/>
    </w:rPr>
  </w:style>
  <w:style w:type="paragraph" w:customStyle="1" w:styleId="MRPOMinutes5">
    <w:name w:val="MRPO Minutes 5"/>
    <w:basedOn w:val="Normal"/>
    <w:rsid w:val="00E2330F"/>
    <w:pPr>
      <w:numPr>
        <w:ilvl w:val="4"/>
        <w:numId w:val="2"/>
      </w:numPr>
    </w:pPr>
  </w:style>
  <w:style w:type="character" w:styleId="CommentReference">
    <w:name w:val="annotation reference"/>
    <w:uiPriority w:val="99"/>
    <w:semiHidden/>
    <w:rsid w:val="009C5E80"/>
    <w:rPr>
      <w:rFonts w:cs="Times New Roman"/>
      <w:sz w:val="16"/>
      <w:szCs w:val="16"/>
    </w:rPr>
  </w:style>
  <w:style w:type="paragraph" w:styleId="CommentText">
    <w:name w:val="annotation text"/>
    <w:basedOn w:val="Normal"/>
    <w:link w:val="CommentTextChar"/>
    <w:uiPriority w:val="99"/>
    <w:semiHidden/>
    <w:rsid w:val="009C5E80"/>
    <w:pPr>
      <w:spacing w:after="0"/>
    </w:pPr>
  </w:style>
  <w:style w:type="character" w:styleId="Hyperlink">
    <w:name w:val="Hyperlink"/>
    <w:uiPriority w:val="99"/>
    <w:rsid w:val="006B0F1B"/>
    <w:rPr>
      <w:rFonts w:cs="Times New Roman"/>
      <w:color w:val="0000FF"/>
      <w:u w:val="single"/>
    </w:rPr>
  </w:style>
  <w:style w:type="paragraph" w:styleId="BalloonText">
    <w:name w:val="Balloon Text"/>
    <w:basedOn w:val="Normal"/>
    <w:semiHidden/>
    <w:rsid w:val="009C5E80"/>
    <w:rPr>
      <w:rFonts w:ascii="Tahoma" w:hAnsi="Tahoma" w:cs="Tahoma"/>
      <w:sz w:val="16"/>
      <w:szCs w:val="16"/>
    </w:rPr>
  </w:style>
  <w:style w:type="paragraph" w:styleId="TOC1">
    <w:name w:val="toc 1"/>
    <w:basedOn w:val="Normal"/>
    <w:next w:val="Normal"/>
    <w:autoRedefine/>
    <w:uiPriority w:val="39"/>
    <w:rsid w:val="00D64309"/>
    <w:pPr>
      <w:spacing w:before="360" w:after="0"/>
    </w:pPr>
    <w:rPr>
      <w:b/>
      <w:bCs/>
      <w:caps/>
      <w:szCs w:val="24"/>
    </w:rPr>
  </w:style>
  <w:style w:type="paragraph" w:styleId="TOC2">
    <w:name w:val="toc 2"/>
    <w:basedOn w:val="Normal"/>
    <w:next w:val="Normal"/>
    <w:autoRedefine/>
    <w:uiPriority w:val="39"/>
    <w:rsid w:val="00354BF8"/>
    <w:pPr>
      <w:spacing w:before="240" w:after="0"/>
      <w:jc w:val="left"/>
    </w:pPr>
    <w:rPr>
      <w:b/>
      <w:bCs/>
    </w:rPr>
  </w:style>
  <w:style w:type="paragraph" w:styleId="TOC3">
    <w:name w:val="toc 3"/>
    <w:basedOn w:val="Normal"/>
    <w:next w:val="Normal"/>
    <w:autoRedefine/>
    <w:uiPriority w:val="39"/>
    <w:rsid w:val="00EF42CF"/>
    <w:pPr>
      <w:tabs>
        <w:tab w:val="left" w:pos="1000"/>
        <w:tab w:val="right" w:leader="dot" w:pos="9019"/>
      </w:tabs>
      <w:spacing w:after="0"/>
      <w:ind w:left="200"/>
    </w:pPr>
  </w:style>
  <w:style w:type="paragraph" w:customStyle="1" w:styleId="Bullets">
    <w:name w:val="Bullets"/>
    <w:basedOn w:val="Normal"/>
    <w:rsid w:val="00D9450C"/>
    <w:pPr>
      <w:numPr>
        <w:numId w:val="27"/>
      </w:numPr>
      <w:spacing w:after="0"/>
    </w:pPr>
  </w:style>
  <w:style w:type="character" w:styleId="FootnoteReference">
    <w:name w:val="footnote reference"/>
    <w:semiHidden/>
    <w:rsid w:val="0054377B"/>
    <w:rPr>
      <w:rFonts w:cs="Times New Roman"/>
      <w:vertAlign w:val="superscript"/>
    </w:rPr>
  </w:style>
  <w:style w:type="paragraph" w:styleId="NormalIndent">
    <w:name w:val="Normal Indent"/>
    <w:basedOn w:val="Normal"/>
    <w:rsid w:val="00D83B64"/>
    <w:pPr>
      <w:spacing w:after="120"/>
      <w:ind w:left="720"/>
      <w:jc w:val="left"/>
    </w:pPr>
  </w:style>
  <w:style w:type="paragraph" w:styleId="BodyText">
    <w:name w:val="Body Text"/>
    <w:basedOn w:val="Normal"/>
    <w:rsid w:val="00D83B64"/>
    <w:pPr>
      <w:spacing w:after="0"/>
      <w:jc w:val="left"/>
    </w:pPr>
    <w:rPr>
      <w:rFonts w:cs="Arial"/>
      <w:szCs w:val="24"/>
    </w:rPr>
  </w:style>
  <w:style w:type="table" w:styleId="TableGrid">
    <w:name w:val="Table Grid"/>
    <w:basedOn w:val="TableNormal"/>
    <w:uiPriority w:val="59"/>
    <w:rsid w:val="00D83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basedOn w:val="Normal"/>
    <w:rsid w:val="00EF4970"/>
    <w:pPr>
      <w:numPr>
        <w:ilvl w:val="1"/>
        <w:numId w:val="3"/>
      </w:numPr>
      <w:tabs>
        <w:tab w:val="left" w:pos="-2835"/>
        <w:tab w:val="num" w:pos="851"/>
      </w:tabs>
      <w:spacing w:after="0"/>
      <w:ind w:left="851"/>
    </w:pPr>
  </w:style>
  <w:style w:type="paragraph" w:styleId="CommentSubject">
    <w:name w:val="annotation subject"/>
    <w:basedOn w:val="CommentText"/>
    <w:next w:val="CommentText"/>
    <w:semiHidden/>
    <w:rsid w:val="00571C02"/>
    <w:pPr>
      <w:spacing w:after="240"/>
    </w:pPr>
    <w:rPr>
      <w:b/>
      <w:bCs/>
    </w:rPr>
  </w:style>
  <w:style w:type="paragraph" w:customStyle="1" w:styleId="LetterList">
    <w:name w:val="Letter List"/>
    <w:basedOn w:val="Heading1"/>
    <w:rsid w:val="00B05034"/>
    <w:pPr>
      <w:keepNext w:val="0"/>
      <w:keepLines w:val="0"/>
      <w:pageBreakBefore/>
      <w:numPr>
        <w:numId w:val="0"/>
      </w:numPr>
      <w:tabs>
        <w:tab w:val="num" w:pos="1440"/>
      </w:tabs>
      <w:spacing w:after="0"/>
      <w:ind w:left="1440" w:hanging="720"/>
      <w:jc w:val="left"/>
    </w:pPr>
    <w:rPr>
      <w:b w:val="0"/>
      <w:caps w:val="0"/>
      <w:kern w:val="28"/>
      <w:szCs w:val="20"/>
      <w:lang w:eastAsia="en-GB"/>
    </w:rPr>
  </w:style>
  <w:style w:type="paragraph" w:customStyle="1" w:styleId="PARTS">
    <w:name w:val="PARTS"/>
    <w:basedOn w:val="Normal"/>
    <w:rsid w:val="00445F85"/>
    <w:pPr>
      <w:jc w:val="center"/>
    </w:pPr>
    <w:rPr>
      <w:b/>
      <w:sz w:val="28"/>
    </w:rPr>
  </w:style>
  <w:style w:type="paragraph" w:styleId="BodyText2">
    <w:name w:val="Body Text 2"/>
    <w:basedOn w:val="Normal"/>
    <w:rsid w:val="00140143"/>
    <w:pPr>
      <w:spacing w:after="120" w:line="480" w:lineRule="auto"/>
    </w:pPr>
  </w:style>
  <w:style w:type="paragraph" w:styleId="BodyText3">
    <w:name w:val="Body Text 3"/>
    <w:basedOn w:val="Normal"/>
    <w:rsid w:val="00140143"/>
    <w:pPr>
      <w:spacing w:after="120"/>
    </w:pPr>
    <w:rPr>
      <w:sz w:val="16"/>
      <w:szCs w:val="16"/>
    </w:rPr>
  </w:style>
  <w:style w:type="paragraph" w:customStyle="1" w:styleId="Appendix">
    <w:name w:val="Appendix"/>
    <w:basedOn w:val="Heading1"/>
    <w:rsid w:val="00C31B83"/>
    <w:pPr>
      <w:keepLines w:val="0"/>
      <w:pageBreakBefore/>
      <w:numPr>
        <w:numId w:val="0"/>
      </w:numPr>
      <w:shd w:val="clear" w:color="auto" w:fill="CCECFF"/>
      <w:tabs>
        <w:tab w:val="left" w:pos="720"/>
      </w:tabs>
      <w:spacing w:before="0" w:after="120"/>
      <w:ind w:left="720"/>
      <w:jc w:val="left"/>
    </w:pPr>
    <w:rPr>
      <w:caps w:val="0"/>
      <w:noProof/>
      <w:sz w:val="32"/>
      <w:szCs w:val="32"/>
    </w:rPr>
  </w:style>
  <w:style w:type="paragraph" w:styleId="TOC4">
    <w:name w:val="toc 4"/>
    <w:basedOn w:val="Normal"/>
    <w:next w:val="Normal"/>
    <w:autoRedefine/>
    <w:uiPriority w:val="39"/>
    <w:rsid w:val="00EF42CF"/>
    <w:pPr>
      <w:spacing w:after="0"/>
      <w:ind w:left="400"/>
      <w:jc w:val="left"/>
    </w:pPr>
  </w:style>
  <w:style w:type="paragraph" w:styleId="TOC5">
    <w:name w:val="toc 5"/>
    <w:basedOn w:val="Normal"/>
    <w:next w:val="Normal"/>
    <w:autoRedefine/>
    <w:uiPriority w:val="39"/>
    <w:rsid w:val="00EF42CF"/>
    <w:pPr>
      <w:spacing w:after="0"/>
      <w:ind w:left="600"/>
      <w:jc w:val="left"/>
    </w:pPr>
  </w:style>
  <w:style w:type="paragraph" w:styleId="TOC6">
    <w:name w:val="toc 6"/>
    <w:basedOn w:val="Normal"/>
    <w:next w:val="Normal"/>
    <w:autoRedefine/>
    <w:uiPriority w:val="39"/>
    <w:rsid w:val="005909BB"/>
    <w:pPr>
      <w:spacing w:after="0"/>
      <w:ind w:left="800"/>
      <w:jc w:val="left"/>
    </w:pPr>
    <w:rPr>
      <w:rFonts w:ascii="Calibri" w:hAnsi="Calibri"/>
    </w:rPr>
  </w:style>
  <w:style w:type="paragraph" w:styleId="TOC7">
    <w:name w:val="toc 7"/>
    <w:basedOn w:val="Normal"/>
    <w:next w:val="Normal"/>
    <w:autoRedefine/>
    <w:uiPriority w:val="39"/>
    <w:rsid w:val="005909BB"/>
    <w:pPr>
      <w:spacing w:after="0"/>
      <w:ind w:left="1000"/>
      <w:jc w:val="left"/>
    </w:pPr>
    <w:rPr>
      <w:rFonts w:ascii="Calibri" w:hAnsi="Calibri"/>
    </w:rPr>
  </w:style>
  <w:style w:type="paragraph" w:styleId="TOC8">
    <w:name w:val="toc 8"/>
    <w:basedOn w:val="Normal"/>
    <w:next w:val="Normal"/>
    <w:autoRedefine/>
    <w:uiPriority w:val="39"/>
    <w:rsid w:val="005909BB"/>
    <w:pPr>
      <w:spacing w:after="0"/>
      <w:ind w:left="1200"/>
      <w:jc w:val="left"/>
    </w:pPr>
    <w:rPr>
      <w:rFonts w:ascii="Calibri" w:hAnsi="Calibri"/>
    </w:rPr>
  </w:style>
  <w:style w:type="paragraph" w:styleId="TOC9">
    <w:name w:val="toc 9"/>
    <w:basedOn w:val="Normal"/>
    <w:next w:val="Normal"/>
    <w:autoRedefine/>
    <w:uiPriority w:val="39"/>
    <w:rsid w:val="005909BB"/>
    <w:pPr>
      <w:spacing w:after="0"/>
      <w:ind w:left="1400"/>
      <w:jc w:val="left"/>
    </w:pPr>
    <w:rPr>
      <w:rFonts w:ascii="Calibri" w:hAnsi="Calibri"/>
    </w:rPr>
  </w:style>
  <w:style w:type="table" w:styleId="TableList1">
    <w:name w:val="Table List 1"/>
    <w:basedOn w:val="TableNormal"/>
    <w:rsid w:val="00A75098"/>
    <w:pPr>
      <w:spacing w:after="24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FiveStages">
    <w:name w:val="Five Stages"/>
    <w:basedOn w:val="Heading2"/>
    <w:next w:val="Normal"/>
    <w:rsid w:val="00BE3F90"/>
    <w:rPr>
      <w:smallCaps/>
      <w:u w:val="single"/>
    </w:rPr>
  </w:style>
  <w:style w:type="character" w:styleId="FollowedHyperlink">
    <w:name w:val="FollowedHyperlink"/>
    <w:rsid w:val="00157EF4"/>
    <w:rPr>
      <w:rFonts w:cs="Times New Roman"/>
      <w:color w:val="800080"/>
      <w:u w:val="single"/>
    </w:rPr>
  </w:style>
  <w:style w:type="character" w:customStyle="1" w:styleId="Heading3Char">
    <w:name w:val="Heading 3 Char"/>
    <w:link w:val="Heading3"/>
    <w:locked/>
    <w:rsid w:val="00E517DB"/>
    <w:rPr>
      <w:rFonts w:ascii="Arial" w:hAnsi="Arial"/>
      <w:b/>
      <w:lang w:eastAsia="en-US"/>
    </w:rPr>
  </w:style>
  <w:style w:type="character" w:customStyle="1" w:styleId="Heading5Char">
    <w:name w:val="Heading 5 Char"/>
    <w:link w:val="Heading5"/>
    <w:locked/>
    <w:rsid w:val="002124FA"/>
    <w:rPr>
      <w:rFonts w:ascii="Arial" w:hAnsi="Arial"/>
      <w:b/>
      <w:lang w:eastAsia="en-US"/>
    </w:rPr>
  </w:style>
  <w:style w:type="paragraph" w:styleId="Title">
    <w:name w:val="Title"/>
    <w:basedOn w:val="Normal"/>
    <w:next w:val="NormalIndent"/>
    <w:qFormat/>
    <w:rsid w:val="002268B0"/>
    <w:pPr>
      <w:keepNext/>
      <w:keepLines/>
      <w:overflowPunct w:val="0"/>
      <w:autoSpaceDE w:val="0"/>
      <w:autoSpaceDN w:val="0"/>
      <w:adjustRightInd w:val="0"/>
      <w:jc w:val="center"/>
      <w:textAlignment w:val="baseline"/>
    </w:pPr>
    <w:rPr>
      <w:rFonts w:cs="Arial"/>
      <w:b/>
      <w:bCs/>
      <w:kern w:val="28"/>
      <w:sz w:val="24"/>
      <w:szCs w:val="24"/>
    </w:rPr>
  </w:style>
  <w:style w:type="paragraph" w:styleId="PlainText">
    <w:name w:val="Plain Text"/>
    <w:basedOn w:val="Normal"/>
    <w:rsid w:val="00CB66F9"/>
    <w:pPr>
      <w:spacing w:after="0"/>
      <w:jc w:val="left"/>
    </w:pPr>
    <w:rPr>
      <w:rFonts w:ascii="Courier New" w:hAnsi="Courier New" w:cs="Courier New"/>
      <w:lang w:eastAsia="en-GB"/>
    </w:rPr>
  </w:style>
  <w:style w:type="paragraph" w:styleId="ListParagraph">
    <w:name w:val="List Paragraph"/>
    <w:basedOn w:val="Normal"/>
    <w:uiPriority w:val="34"/>
    <w:qFormat/>
    <w:rsid w:val="00CB3C83"/>
    <w:pPr>
      <w:spacing w:after="200" w:line="276" w:lineRule="auto"/>
      <w:ind w:left="720"/>
      <w:contextualSpacing/>
      <w:jc w:val="left"/>
    </w:pPr>
    <w:rPr>
      <w:rFonts w:ascii="Calibri" w:hAnsi="Calibri"/>
      <w:sz w:val="22"/>
      <w:szCs w:val="22"/>
    </w:rPr>
  </w:style>
  <w:style w:type="character" w:styleId="PageNumber">
    <w:name w:val="page number"/>
    <w:rsid w:val="00953A0A"/>
    <w:rPr>
      <w:rFonts w:cs="Times New Roman"/>
    </w:rPr>
  </w:style>
  <w:style w:type="character" w:styleId="Strong">
    <w:name w:val="Strong"/>
    <w:qFormat/>
    <w:rsid w:val="006A08A7"/>
    <w:rPr>
      <w:rFonts w:cs="Times New Roman"/>
      <w:b/>
      <w:bCs/>
    </w:rPr>
  </w:style>
  <w:style w:type="paragraph" w:styleId="BodyTextIndent2">
    <w:name w:val="Body Text Indent 2"/>
    <w:basedOn w:val="Normal"/>
    <w:rsid w:val="005F34CB"/>
    <w:pPr>
      <w:spacing w:after="120" w:line="480" w:lineRule="auto"/>
      <w:ind w:left="283"/>
    </w:pPr>
  </w:style>
  <w:style w:type="paragraph" w:customStyle="1" w:styleId="xchangingbody">
    <w:name w:val="xchangingbody"/>
    <w:basedOn w:val="Normal"/>
    <w:rsid w:val="007E450F"/>
    <w:pPr>
      <w:spacing w:before="120" w:after="200" w:line="300" w:lineRule="auto"/>
      <w:ind w:left="737"/>
      <w:jc w:val="left"/>
    </w:pPr>
    <w:rPr>
      <w:rFonts w:ascii="Calibri" w:eastAsia="SimSun" w:hAnsi="Calibri"/>
      <w:sz w:val="22"/>
      <w:szCs w:val="22"/>
      <w:lang w:eastAsia="zh-CN"/>
    </w:rPr>
  </w:style>
  <w:style w:type="paragraph" w:customStyle="1" w:styleId="appendix1">
    <w:name w:val="appendix1"/>
    <w:basedOn w:val="Normal"/>
    <w:rsid w:val="007E450F"/>
    <w:pPr>
      <w:keepNext/>
      <w:pageBreakBefore/>
      <w:spacing w:before="240" w:after="120"/>
      <w:jc w:val="left"/>
    </w:pPr>
    <w:rPr>
      <w:rFonts w:eastAsia="SimSun" w:cs="Arial"/>
      <w:b/>
      <w:bCs/>
      <w:sz w:val="28"/>
      <w:szCs w:val="28"/>
      <w:lang w:eastAsia="zh-CN"/>
    </w:rPr>
  </w:style>
  <w:style w:type="character" w:customStyle="1" w:styleId="CommentTextChar">
    <w:name w:val="Comment Text Char"/>
    <w:link w:val="CommentText"/>
    <w:uiPriority w:val="99"/>
    <w:semiHidden/>
    <w:rsid w:val="00037255"/>
    <w:rPr>
      <w:rFonts w:ascii="Arial" w:hAnsi="Arial"/>
    </w:rPr>
  </w:style>
  <w:style w:type="paragraph" w:styleId="TOCHeading">
    <w:name w:val="TOC Heading"/>
    <w:basedOn w:val="Heading1"/>
    <w:next w:val="Normal"/>
    <w:uiPriority w:val="39"/>
    <w:semiHidden/>
    <w:unhideWhenUsed/>
    <w:qFormat/>
    <w:rsid w:val="00DA5F22"/>
    <w:pPr>
      <w:numPr>
        <w:numId w:val="0"/>
      </w:numPr>
      <w:spacing w:before="480" w:after="0" w:line="276" w:lineRule="auto"/>
      <w:jc w:val="left"/>
      <w:outlineLvl w:val="9"/>
    </w:pPr>
    <w:rPr>
      <w:rFonts w:ascii="Cambria" w:hAnsi="Cambria"/>
      <w:bCs/>
      <w:caps w:val="0"/>
      <w:color w:val="365F91"/>
      <w:sz w:val="28"/>
      <w:szCs w:val="28"/>
      <w:lang w:val="en-US"/>
    </w:rPr>
  </w:style>
  <w:style w:type="paragraph" w:styleId="Revision">
    <w:name w:val="Revision"/>
    <w:hidden/>
    <w:uiPriority w:val="99"/>
    <w:semiHidden/>
    <w:rsid w:val="0005262F"/>
    <w:rPr>
      <w:rFonts w:ascii="Arial" w:hAnsi="Arial"/>
      <w:lang w:eastAsia="en-US"/>
    </w:rPr>
  </w:style>
  <w:style w:type="paragraph" w:styleId="NormalWeb">
    <w:name w:val="Normal (Web)"/>
    <w:basedOn w:val="Normal"/>
    <w:uiPriority w:val="99"/>
    <w:unhideWhenUsed/>
    <w:rsid w:val="00336CAD"/>
    <w:pPr>
      <w:spacing w:before="100" w:beforeAutospacing="1" w:after="100" w:afterAutospacing="1"/>
      <w:jc w:val="left"/>
    </w:pPr>
    <w:rPr>
      <w:rFonts w:ascii="Times New Roman" w:eastAsiaTheme="minorEastAsia" w:hAnsi="Times New Roman"/>
      <w:sz w:val="24"/>
      <w:szCs w:val="24"/>
      <w:lang w:eastAsia="en-GB"/>
    </w:rPr>
  </w:style>
  <w:style w:type="character" w:styleId="Emphasis">
    <w:name w:val="Emphasis"/>
    <w:basedOn w:val="DefaultParagraphFont"/>
    <w:qFormat/>
    <w:locked/>
    <w:rsid w:val="009A1D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103">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43">
          <w:marLeft w:val="720"/>
          <w:marRight w:val="0"/>
          <w:marTop w:val="0"/>
          <w:marBottom w:val="0"/>
          <w:divBdr>
            <w:top w:val="none" w:sz="0" w:space="0" w:color="auto"/>
            <w:left w:val="none" w:sz="0" w:space="0" w:color="auto"/>
            <w:bottom w:val="none" w:sz="0" w:space="0" w:color="auto"/>
            <w:right w:val="none" w:sz="0" w:space="0" w:color="auto"/>
          </w:divBdr>
        </w:div>
        <w:div w:id="47">
          <w:marLeft w:val="720"/>
          <w:marRight w:val="0"/>
          <w:marTop w:val="0"/>
          <w:marBottom w:val="0"/>
          <w:divBdr>
            <w:top w:val="none" w:sz="0" w:space="0" w:color="auto"/>
            <w:left w:val="none" w:sz="0" w:space="0" w:color="auto"/>
            <w:bottom w:val="none" w:sz="0" w:space="0" w:color="auto"/>
            <w:right w:val="none" w:sz="0" w:space="0" w:color="auto"/>
          </w:divBdr>
        </w:div>
        <w:div w:id="85">
          <w:marLeft w:val="720"/>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3">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 w:id="83">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75">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12528">
      <w:bodyDiv w:val="1"/>
      <w:marLeft w:val="0"/>
      <w:marRight w:val="0"/>
      <w:marTop w:val="0"/>
      <w:marBottom w:val="0"/>
      <w:divBdr>
        <w:top w:val="none" w:sz="0" w:space="0" w:color="auto"/>
        <w:left w:val="none" w:sz="0" w:space="0" w:color="auto"/>
        <w:bottom w:val="none" w:sz="0" w:space="0" w:color="auto"/>
        <w:right w:val="none" w:sz="0" w:space="0" w:color="auto"/>
      </w:divBdr>
    </w:div>
    <w:div w:id="526528609">
      <w:bodyDiv w:val="1"/>
      <w:marLeft w:val="0"/>
      <w:marRight w:val="0"/>
      <w:marTop w:val="0"/>
      <w:marBottom w:val="0"/>
      <w:divBdr>
        <w:top w:val="none" w:sz="0" w:space="0" w:color="auto"/>
        <w:left w:val="none" w:sz="0" w:space="0" w:color="auto"/>
        <w:bottom w:val="none" w:sz="0" w:space="0" w:color="auto"/>
        <w:right w:val="none" w:sz="0" w:space="0" w:color="auto"/>
      </w:divBdr>
    </w:div>
    <w:div w:id="1304240650">
      <w:bodyDiv w:val="1"/>
      <w:marLeft w:val="0"/>
      <w:marRight w:val="0"/>
      <w:marTop w:val="0"/>
      <w:marBottom w:val="0"/>
      <w:divBdr>
        <w:top w:val="none" w:sz="0" w:space="0" w:color="auto"/>
        <w:left w:val="none" w:sz="0" w:space="0" w:color="auto"/>
        <w:bottom w:val="none" w:sz="0" w:space="0" w:color="auto"/>
        <w:right w:val="none" w:sz="0" w:space="0" w:color="auto"/>
      </w:divBdr>
    </w:div>
    <w:div w:id="180245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ndonmarketgroup.co.uk/index.php/current-resources/a-a-s/delinking" TargetMode="External"/><Relationship Id="rId18" Type="http://schemas.openxmlformats.org/officeDocument/2006/relationships/image" Target="media/image4.emf"/><Relationship Id="rId26" Type="http://schemas.openxmlformats.org/officeDocument/2006/relationships/hyperlink" Target="mailto:C@L" TargetMode="External"/><Relationship Id="rId39" Type="http://schemas.openxmlformats.org/officeDocument/2006/relationships/hyperlink" Target="http://www.ecfinfo.eu/how-to/best-practice/" TargetMode="External"/><Relationship Id="rId3" Type="http://schemas.openxmlformats.org/officeDocument/2006/relationships/styles" Target="styles.xml"/><Relationship Id="rId21" Type="http://schemas.openxmlformats.org/officeDocument/2006/relationships/hyperlink" Target="mailto:Service.Centre@xchanging.com" TargetMode="External"/><Relationship Id="rId34" Type="http://schemas.openxmlformats.org/officeDocument/2006/relationships/oleObject" Target="embeddings/oleObject1.bin"/><Relationship Id="rId42" Type="http://schemas.openxmlformats.org/officeDocument/2006/relationships/hyperlink" Target="http://www.ecfinfo.eu/how-to/third-party-acces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cfdocs.xchanging.com/Home/Index/edc1149a-9e5d-4a4e-aa8d-fb4cd9dc8186" TargetMode="External"/><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3.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ecfdocs.xchanging.com/Home/Index/c1d9818b-5d91-44fc-a30c-73f8d84016d0" TargetMode="External"/><Relationship Id="rId29" Type="http://schemas.openxmlformats.org/officeDocument/2006/relationships/header" Target="header1.xml"/><Relationship Id="rId41" Type="http://schemas.openxmlformats.org/officeDocument/2006/relationships/hyperlink" Target="http://www.londonmarketgroup.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hyperlink" Target="https://ecfdocs.xchanging.com" TargetMode="External"/><Relationship Id="rId32" Type="http://schemas.openxmlformats.org/officeDocument/2006/relationships/image" Target="media/image8.jpeg"/><Relationship Id="rId37" Type="http://schemas.openxmlformats.org/officeDocument/2006/relationships/image" Target="media/image11.emf"/><Relationship Id="rId40" Type="http://schemas.openxmlformats.org/officeDocument/2006/relationships/hyperlink" Target="http://www.londonmarketgroup.co.uk" TargetMode="External"/><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www.lloyds.com/the-market/operating-at-lloyds/claims-at-lloyds/claims-transformation-programme" TargetMode="External"/><Relationship Id="rId23" Type="http://schemas.openxmlformats.org/officeDocument/2006/relationships/hyperlink" Target="https://ecfdocs.xchanging.com/Home/Index/9c80c26f-b213-41d4-9c71-33884ee4fc58" TargetMode="External"/><Relationship Id="rId28" Type="http://schemas.openxmlformats.org/officeDocument/2006/relationships/image" Target="media/image7.png"/><Relationship Id="rId36"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hyperlink" Target="mailto:service.centre@xchanging.com" TargetMode="External"/><Relationship Id="rId31" Type="http://schemas.openxmlformats.org/officeDocument/2006/relationships/footer" Target="footer2.xml"/><Relationship Id="rId44"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s://ecfdocs.xchanging.com" TargetMode="External"/><Relationship Id="rId14" Type="http://schemas.openxmlformats.org/officeDocument/2006/relationships/hyperlink" Target="http://www.lloyds.com/the-market/operating-at-lloyds/claims-at-lloyds/claims-transformation-programme" TargetMode="External"/><Relationship Id="rId22" Type="http://schemas.openxmlformats.org/officeDocument/2006/relationships/hyperlink" Target="https://ecfdocs.xchanging.com/Home/Index/23cbe377-5ef1-499b-92ef-775f336696fb" TargetMode="External"/><Relationship Id="rId27" Type="http://schemas.openxmlformats.org/officeDocument/2006/relationships/image" Target="media/image6.emf"/><Relationship Id="rId30" Type="http://schemas.openxmlformats.org/officeDocument/2006/relationships/footer" Target="footer1.xml"/><Relationship Id="rId35" Type="http://schemas.openxmlformats.org/officeDocument/2006/relationships/image" Target="media/image10.emf"/><Relationship Id="rId43" Type="http://schemas.openxmlformats.org/officeDocument/2006/relationships/hyperlink" Target="http://www.londonmarketgrou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8BAC2-A8BB-44AD-B909-4AE0D6E1F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D3C2ECA9</Template>
  <TotalTime>0</TotalTime>
  <Pages>68</Pages>
  <Words>27714</Words>
  <Characters>154193</Characters>
  <Application>Microsoft Office Word</Application>
  <DocSecurity>0</DocSecurity>
  <Lines>1284</Lines>
  <Paragraphs>363</Paragraphs>
  <ScaleCrop>false</ScaleCrop>
  <HeadingPairs>
    <vt:vector size="2" baseType="variant">
      <vt:variant>
        <vt:lpstr>Title</vt:lpstr>
      </vt:variant>
      <vt:variant>
        <vt:i4>1</vt:i4>
      </vt:variant>
    </vt:vector>
  </HeadingPairs>
  <TitlesOfParts>
    <vt:vector size="1" baseType="lpstr">
      <vt:lpstr>Minutes</vt:lpstr>
    </vt:vector>
  </TitlesOfParts>
  <Company>Lloyd's</Company>
  <LinksUpToDate>false</LinksUpToDate>
  <CharactersWithSpaces>181544</CharactersWithSpaces>
  <SharedDoc>false</SharedDoc>
  <HLinks>
    <vt:vector size="1278" baseType="variant">
      <vt:variant>
        <vt:i4>6422648</vt:i4>
      </vt:variant>
      <vt:variant>
        <vt:i4>1482</vt:i4>
      </vt:variant>
      <vt:variant>
        <vt:i4>0</vt:i4>
      </vt:variant>
      <vt:variant>
        <vt:i4>5</vt:i4>
      </vt:variant>
      <vt:variant>
        <vt:lpwstr>http://www.londonmarketgroup.co.uk/</vt:lpwstr>
      </vt:variant>
      <vt:variant>
        <vt:lpwstr/>
      </vt:variant>
      <vt:variant>
        <vt:i4>6422648</vt:i4>
      </vt:variant>
      <vt:variant>
        <vt:i4>1479</vt:i4>
      </vt:variant>
      <vt:variant>
        <vt:i4>0</vt:i4>
      </vt:variant>
      <vt:variant>
        <vt:i4>5</vt:i4>
      </vt:variant>
      <vt:variant>
        <vt:lpwstr>http://www.londonmarketgroup.co.uk/</vt:lpwstr>
      </vt:variant>
      <vt:variant>
        <vt:lpwstr/>
      </vt:variant>
      <vt:variant>
        <vt:i4>6422648</vt:i4>
      </vt:variant>
      <vt:variant>
        <vt:i4>1476</vt:i4>
      </vt:variant>
      <vt:variant>
        <vt:i4>0</vt:i4>
      </vt:variant>
      <vt:variant>
        <vt:i4>5</vt:i4>
      </vt:variant>
      <vt:variant>
        <vt:lpwstr>http://www.londonmarketgroup.co.uk/</vt:lpwstr>
      </vt:variant>
      <vt:variant>
        <vt:lpwstr/>
      </vt:variant>
      <vt:variant>
        <vt:i4>6422648</vt:i4>
      </vt:variant>
      <vt:variant>
        <vt:i4>1473</vt:i4>
      </vt:variant>
      <vt:variant>
        <vt:i4>0</vt:i4>
      </vt:variant>
      <vt:variant>
        <vt:i4>5</vt:i4>
      </vt:variant>
      <vt:variant>
        <vt:lpwstr>http://www.londonmarketgroup.co.uk/</vt:lpwstr>
      </vt:variant>
      <vt:variant>
        <vt:lpwstr/>
      </vt:variant>
      <vt:variant>
        <vt:i4>6422648</vt:i4>
      </vt:variant>
      <vt:variant>
        <vt:i4>1470</vt:i4>
      </vt:variant>
      <vt:variant>
        <vt:i4>0</vt:i4>
      </vt:variant>
      <vt:variant>
        <vt:i4>5</vt:i4>
      </vt:variant>
      <vt:variant>
        <vt:lpwstr>http://www.londonmarketgroup.co.uk/</vt:lpwstr>
      </vt:variant>
      <vt:variant>
        <vt:lpwstr/>
      </vt:variant>
      <vt:variant>
        <vt:i4>3735556</vt:i4>
      </vt:variant>
      <vt:variant>
        <vt:i4>1461</vt:i4>
      </vt:variant>
      <vt:variant>
        <vt:i4>0</vt:i4>
      </vt:variant>
      <vt:variant>
        <vt:i4>5</vt:i4>
      </vt:variant>
      <vt:variant>
        <vt:lpwstr>http://www.marketreform.co.uk/RD_AS_delinking_docs.htm</vt:lpwstr>
      </vt:variant>
      <vt:variant>
        <vt:lpwstr/>
      </vt:variant>
      <vt:variant>
        <vt:i4>458868</vt:i4>
      </vt:variant>
      <vt:variant>
        <vt:i4>1350</vt:i4>
      </vt:variant>
      <vt:variant>
        <vt:i4>0</vt:i4>
      </vt:variant>
      <vt:variant>
        <vt:i4>5</vt:i4>
      </vt:variant>
      <vt:variant>
        <vt:lpwstr>http://www.londonmarketgroup.co.uk/index.php?option=com_content&amp;view=category&amp;id=94&amp;Itemid=204</vt:lpwstr>
      </vt:variant>
      <vt:variant>
        <vt:lpwstr/>
      </vt:variant>
      <vt:variant>
        <vt:i4>1704051</vt:i4>
      </vt:variant>
      <vt:variant>
        <vt:i4>1347</vt:i4>
      </vt:variant>
      <vt:variant>
        <vt:i4>0</vt:i4>
      </vt:variant>
      <vt:variant>
        <vt:i4>5</vt:i4>
      </vt:variant>
      <vt:variant>
        <vt:lpwstr>mailto:Service.Centre@xchanging.com</vt:lpwstr>
      </vt:variant>
      <vt:variant>
        <vt:lpwstr/>
      </vt:variant>
      <vt:variant>
        <vt:i4>2949136</vt:i4>
      </vt:variant>
      <vt:variant>
        <vt:i4>1344</vt:i4>
      </vt:variant>
      <vt:variant>
        <vt:i4>0</vt:i4>
      </vt:variant>
      <vt:variant>
        <vt:i4>5</vt:i4>
      </vt:variant>
      <vt:variant>
        <vt:lpwstr>mailto:ecf2roll-out@xchanging.com</vt:lpwstr>
      </vt:variant>
      <vt:variant>
        <vt:lpwstr/>
      </vt:variant>
      <vt:variant>
        <vt:i4>7012444</vt:i4>
      </vt:variant>
      <vt:variant>
        <vt:i4>1341</vt:i4>
      </vt:variant>
      <vt:variant>
        <vt:i4>0</vt:i4>
      </vt:variant>
      <vt:variant>
        <vt:i4>5</vt:i4>
      </vt:variant>
      <vt:variant>
        <vt:lpwstr>http://www.londonmarketgroup.co.uk/index.php?option=com_content&amp;view=category&amp;id=32&amp;Itemid=133&amp;2ced3df0a1c08ee30f41a6e26bbeabd2=10b96325563b57d6421227c388ffc7bd</vt:lpwstr>
      </vt:variant>
      <vt:variant>
        <vt:lpwstr/>
      </vt:variant>
      <vt:variant>
        <vt:i4>7143434</vt:i4>
      </vt:variant>
      <vt:variant>
        <vt:i4>1314</vt:i4>
      </vt:variant>
      <vt:variant>
        <vt:i4>0</vt:i4>
      </vt:variant>
      <vt:variant>
        <vt:i4>5</vt:i4>
      </vt:variant>
      <vt:variant>
        <vt:lpwstr>mailto:C@L</vt:lpwstr>
      </vt:variant>
      <vt:variant>
        <vt:lpwstr/>
      </vt:variant>
      <vt:variant>
        <vt:i4>6422648</vt:i4>
      </vt:variant>
      <vt:variant>
        <vt:i4>1260</vt:i4>
      </vt:variant>
      <vt:variant>
        <vt:i4>0</vt:i4>
      </vt:variant>
      <vt:variant>
        <vt:i4>5</vt:i4>
      </vt:variant>
      <vt:variant>
        <vt:lpwstr>http://www.londonmarketgroup.co.uk/</vt:lpwstr>
      </vt:variant>
      <vt:variant>
        <vt:lpwstr/>
      </vt:variant>
      <vt:variant>
        <vt:i4>1835065</vt:i4>
      </vt:variant>
      <vt:variant>
        <vt:i4>1196</vt:i4>
      </vt:variant>
      <vt:variant>
        <vt:i4>0</vt:i4>
      </vt:variant>
      <vt:variant>
        <vt:i4>5</vt:i4>
      </vt:variant>
      <vt:variant>
        <vt:lpwstr/>
      </vt:variant>
      <vt:variant>
        <vt:lpwstr>_Toc353800969</vt:lpwstr>
      </vt:variant>
      <vt:variant>
        <vt:i4>1835065</vt:i4>
      </vt:variant>
      <vt:variant>
        <vt:i4>1190</vt:i4>
      </vt:variant>
      <vt:variant>
        <vt:i4>0</vt:i4>
      </vt:variant>
      <vt:variant>
        <vt:i4>5</vt:i4>
      </vt:variant>
      <vt:variant>
        <vt:lpwstr/>
      </vt:variant>
      <vt:variant>
        <vt:lpwstr>_Toc353800968</vt:lpwstr>
      </vt:variant>
      <vt:variant>
        <vt:i4>1835065</vt:i4>
      </vt:variant>
      <vt:variant>
        <vt:i4>1184</vt:i4>
      </vt:variant>
      <vt:variant>
        <vt:i4>0</vt:i4>
      </vt:variant>
      <vt:variant>
        <vt:i4>5</vt:i4>
      </vt:variant>
      <vt:variant>
        <vt:lpwstr/>
      </vt:variant>
      <vt:variant>
        <vt:lpwstr>_Toc353800967</vt:lpwstr>
      </vt:variant>
      <vt:variant>
        <vt:i4>1835065</vt:i4>
      </vt:variant>
      <vt:variant>
        <vt:i4>1178</vt:i4>
      </vt:variant>
      <vt:variant>
        <vt:i4>0</vt:i4>
      </vt:variant>
      <vt:variant>
        <vt:i4>5</vt:i4>
      </vt:variant>
      <vt:variant>
        <vt:lpwstr/>
      </vt:variant>
      <vt:variant>
        <vt:lpwstr>_Toc353800966</vt:lpwstr>
      </vt:variant>
      <vt:variant>
        <vt:i4>1835065</vt:i4>
      </vt:variant>
      <vt:variant>
        <vt:i4>1172</vt:i4>
      </vt:variant>
      <vt:variant>
        <vt:i4>0</vt:i4>
      </vt:variant>
      <vt:variant>
        <vt:i4>5</vt:i4>
      </vt:variant>
      <vt:variant>
        <vt:lpwstr/>
      </vt:variant>
      <vt:variant>
        <vt:lpwstr>_Toc353800965</vt:lpwstr>
      </vt:variant>
      <vt:variant>
        <vt:i4>1835065</vt:i4>
      </vt:variant>
      <vt:variant>
        <vt:i4>1166</vt:i4>
      </vt:variant>
      <vt:variant>
        <vt:i4>0</vt:i4>
      </vt:variant>
      <vt:variant>
        <vt:i4>5</vt:i4>
      </vt:variant>
      <vt:variant>
        <vt:lpwstr/>
      </vt:variant>
      <vt:variant>
        <vt:lpwstr>_Toc353800964</vt:lpwstr>
      </vt:variant>
      <vt:variant>
        <vt:i4>1835065</vt:i4>
      </vt:variant>
      <vt:variant>
        <vt:i4>1160</vt:i4>
      </vt:variant>
      <vt:variant>
        <vt:i4>0</vt:i4>
      </vt:variant>
      <vt:variant>
        <vt:i4>5</vt:i4>
      </vt:variant>
      <vt:variant>
        <vt:lpwstr/>
      </vt:variant>
      <vt:variant>
        <vt:lpwstr>_Toc353800963</vt:lpwstr>
      </vt:variant>
      <vt:variant>
        <vt:i4>1835065</vt:i4>
      </vt:variant>
      <vt:variant>
        <vt:i4>1154</vt:i4>
      </vt:variant>
      <vt:variant>
        <vt:i4>0</vt:i4>
      </vt:variant>
      <vt:variant>
        <vt:i4>5</vt:i4>
      </vt:variant>
      <vt:variant>
        <vt:lpwstr/>
      </vt:variant>
      <vt:variant>
        <vt:lpwstr>_Toc353800962</vt:lpwstr>
      </vt:variant>
      <vt:variant>
        <vt:i4>1835065</vt:i4>
      </vt:variant>
      <vt:variant>
        <vt:i4>1148</vt:i4>
      </vt:variant>
      <vt:variant>
        <vt:i4>0</vt:i4>
      </vt:variant>
      <vt:variant>
        <vt:i4>5</vt:i4>
      </vt:variant>
      <vt:variant>
        <vt:lpwstr/>
      </vt:variant>
      <vt:variant>
        <vt:lpwstr>_Toc353800961</vt:lpwstr>
      </vt:variant>
      <vt:variant>
        <vt:i4>1835065</vt:i4>
      </vt:variant>
      <vt:variant>
        <vt:i4>1142</vt:i4>
      </vt:variant>
      <vt:variant>
        <vt:i4>0</vt:i4>
      </vt:variant>
      <vt:variant>
        <vt:i4>5</vt:i4>
      </vt:variant>
      <vt:variant>
        <vt:lpwstr/>
      </vt:variant>
      <vt:variant>
        <vt:lpwstr>_Toc353800960</vt:lpwstr>
      </vt:variant>
      <vt:variant>
        <vt:i4>2031673</vt:i4>
      </vt:variant>
      <vt:variant>
        <vt:i4>1136</vt:i4>
      </vt:variant>
      <vt:variant>
        <vt:i4>0</vt:i4>
      </vt:variant>
      <vt:variant>
        <vt:i4>5</vt:i4>
      </vt:variant>
      <vt:variant>
        <vt:lpwstr/>
      </vt:variant>
      <vt:variant>
        <vt:lpwstr>_Toc353800959</vt:lpwstr>
      </vt:variant>
      <vt:variant>
        <vt:i4>2031673</vt:i4>
      </vt:variant>
      <vt:variant>
        <vt:i4>1130</vt:i4>
      </vt:variant>
      <vt:variant>
        <vt:i4>0</vt:i4>
      </vt:variant>
      <vt:variant>
        <vt:i4>5</vt:i4>
      </vt:variant>
      <vt:variant>
        <vt:lpwstr/>
      </vt:variant>
      <vt:variant>
        <vt:lpwstr>_Toc353800958</vt:lpwstr>
      </vt:variant>
      <vt:variant>
        <vt:i4>2031673</vt:i4>
      </vt:variant>
      <vt:variant>
        <vt:i4>1124</vt:i4>
      </vt:variant>
      <vt:variant>
        <vt:i4>0</vt:i4>
      </vt:variant>
      <vt:variant>
        <vt:i4>5</vt:i4>
      </vt:variant>
      <vt:variant>
        <vt:lpwstr/>
      </vt:variant>
      <vt:variant>
        <vt:lpwstr>_Toc353800957</vt:lpwstr>
      </vt:variant>
      <vt:variant>
        <vt:i4>2031673</vt:i4>
      </vt:variant>
      <vt:variant>
        <vt:i4>1118</vt:i4>
      </vt:variant>
      <vt:variant>
        <vt:i4>0</vt:i4>
      </vt:variant>
      <vt:variant>
        <vt:i4>5</vt:i4>
      </vt:variant>
      <vt:variant>
        <vt:lpwstr/>
      </vt:variant>
      <vt:variant>
        <vt:lpwstr>_Toc353800956</vt:lpwstr>
      </vt:variant>
      <vt:variant>
        <vt:i4>2031673</vt:i4>
      </vt:variant>
      <vt:variant>
        <vt:i4>1112</vt:i4>
      </vt:variant>
      <vt:variant>
        <vt:i4>0</vt:i4>
      </vt:variant>
      <vt:variant>
        <vt:i4>5</vt:i4>
      </vt:variant>
      <vt:variant>
        <vt:lpwstr/>
      </vt:variant>
      <vt:variant>
        <vt:lpwstr>_Toc353800955</vt:lpwstr>
      </vt:variant>
      <vt:variant>
        <vt:i4>2031673</vt:i4>
      </vt:variant>
      <vt:variant>
        <vt:i4>1106</vt:i4>
      </vt:variant>
      <vt:variant>
        <vt:i4>0</vt:i4>
      </vt:variant>
      <vt:variant>
        <vt:i4>5</vt:i4>
      </vt:variant>
      <vt:variant>
        <vt:lpwstr/>
      </vt:variant>
      <vt:variant>
        <vt:lpwstr>_Toc353800954</vt:lpwstr>
      </vt:variant>
      <vt:variant>
        <vt:i4>2031673</vt:i4>
      </vt:variant>
      <vt:variant>
        <vt:i4>1100</vt:i4>
      </vt:variant>
      <vt:variant>
        <vt:i4>0</vt:i4>
      </vt:variant>
      <vt:variant>
        <vt:i4>5</vt:i4>
      </vt:variant>
      <vt:variant>
        <vt:lpwstr/>
      </vt:variant>
      <vt:variant>
        <vt:lpwstr>_Toc353800953</vt:lpwstr>
      </vt:variant>
      <vt:variant>
        <vt:i4>2031673</vt:i4>
      </vt:variant>
      <vt:variant>
        <vt:i4>1094</vt:i4>
      </vt:variant>
      <vt:variant>
        <vt:i4>0</vt:i4>
      </vt:variant>
      <vt:variant>
        <vt:i4>5</vt:i4>
      </vt:variant>
      <vt:variant>
        <vt:lpwstr/>
      </vt:variant>
      <vt:variant>
        <vt:lpwstr>_Toc353800952</vt:lpwstr>
      </vt:variant>
      <vt:variant>
        <vt:i4>2031673</vt:i4>
      </vt:variant>
      <vt:variant>
        <vt:i4>1088</vt:i4>
      </vt:variant>
      <vt:variant>
        <vt:i4>0</vt:i4>
      </vt:variant>
      <vt:variant>
        <vt:i4>5</vt:i4>
      </vt:variant>
      <vt:variant>
        <vt:lpwstr/>
      </vt:variant>
      <vt:variant>
        <vt:lpwstr>_Toc353800951</vt:lpwstr>
      </vt:variant>
      <vt:variant>
        <vt:i4>2031673</vt:i4>
      </vt:variant>
      <vt:variant>
        <vt:i4>1082</vt:i4>
      </vt:variant>
      <vt:variant>
        <vt:i4>0</vt:i4>
      </vt:variant>
      <vt:variant>
        <vt:i4>5</vt:i4>
      </vt:variant>
      <vt:variant>
        <vt:lpwstr/>
      </vt:variant>
      <vt:variant>
        <vt:lpwstr>_Toc353800950</vt:lpwstr>
      </vt:variant>
      <vt:variant>
        <vt:i4>1966137</vt:i4>
      </vt:variant>
      <vt:variant>
        <vt:i4>1076</vt:i4>
      </vt:variant>
      <vt:variant>
        <vt:i4>0</vt:i4>
      </vt:variant>
      <vt:variant>
        <vt:i4>5</vt:i4>
      </vt:variant>
      <vt:variant>
        <vt:lpwstr/>
      </vt:variant>
      <vt:variant>
        <vt:lpwstr>_Toc353800949</vt:lpwstr>
      </vt:variant>
      <vt:variant>
        <vt:i4>1966137</vt:i4>
      </vt:variant>
      <vt:variant>
        <vt:i4>1070</vt:i4>
      </vt:variant>
      <vt:variant>
        <vt:i4>0</vt:i4>
      </vt:variant>
      <vt:variant>
        <vt:i4>5</vt:i4>
      </vt:variant>
      <vt:variant>
        <vt:lpwstr/>
      </vt:variant>
      <vt:variant>
        <vt:lpwstr>_Toc353800948</vt:lpwstr>
      </vt:variant>
      <vt:variant>
        <vt:i4>1966137</vt:i4>
      </vt:variant>
      <vt:variant>
        <vt:i4>1064</vt:i4>
      </vt:variant>
      <vt:variant>
        <vt:i4>0</vt:i4>
      </vt:variant>
      <vt:variant>
        <vt:i4>5</vt:i4>
      </vt:variant>
      <vt:variant>
        <vt:lpwstr/>
      </vt:variant>
      <vt:variant>
        <vt:lpwstr>_Toc353800947</vt:lpwstr>
      </vt:variant>
      <vt:variant>
        <vt:i4>1966137</vt:i4>
      </vt:variant>
      <vt:variant>
        <vt:i4>1058</vt:i4>
      </vt:variant>
      <vt:variant>
        <vt:i4>0</vt:i4>
      </vt:variant>
      <vt:variant>
        <vt:i4>5</vt:i4>
      </vt:variant>
      <vt:variant>
        <vt:lpwstr/>
      </vt:variant>
      <vt:variant>
        <vt:lpwstr>_Toc353800946</vt:lpwstr>
      </vt:variant>
      <vt:variant>
        <vt:i4>1966137</vt:i4>
      </vt:variant>
      <vt:variant>
        <vt:i4>1052</vt:i4>
      </vt:variant>
      <vt:variant>
        <vt:i4>0</vt:i4>
      </vt:variant>
      <vt:variant>
        <vt:i4>5</vt:i4>
      </vt:variant>
      <vt:variant>
        <vt:lpwstr/>
      </vt:variant>
      <vt:variant>
        <vt:lpwstr>_Toc353800945</vt:lpwstr>
      </vt:variant>
      <vt:variant>
        <vt:i4>1966137</vt:i4>
      </vt:variant>
      <vt:variant>
        <vt:i4>1046</vt:i4>
      </vt:variant>
      <vt:variant>
        <vt:i4>0</vt:i4>
      </vt:variant>
      <vt:variant>
        <vt:i4>5</vt:i4>
      </vt:variant>
      <vt:variant>
        <vt:lpwstr/>
      </vt:variant>
      <vt:variant>
        <vt:lpwstr>_Toc353800944</vt:lpwstr>
      </vt:variant>
      <vt:variant>
        <vt:i4>1966137</vt:i4>
      </vt:variant>
      <vt:variant>
        <vt:i4>1040</vt:i4>
      </vt:variant>
      <vt:variant>
        <vt:i4>0</vt:i4>
      </vt:variant>
      <vt:variant>
        <vt:i4>5</vt:i4>
      </vt:variant>
      <vt:variant>
        <vt:lpwstr/>
      </vt:variant>
      <vt:variant>
        <vt:lpwstr>_Toc353800943</vt:lpwstr>
      </vt:variant>
      <vt:variant>
        <vt:i4>1966137</vt:i4>
      </vt:variant>
      <vt:variant>
        <vt:i4>1034</vt:i4>
      </vt:variant>
      <vt:variant>
        <vt:i4>0</vt:i4>
      </vt:variant>
      <vt:variant>
        <vt:i4>5</vt:i4>
      </vt:variant>
      <vt:variant>
        <vt:lpwstr/>
      </vt:variant>
      <vt:variant>
        <vt:lpwstr>_Toc353800942</vt:lpwstr>
      </vt:variant>
      <vt:variant>
        <vt:i4>1966137</vt:i4>
      </vt:variant>
      <vt:variant>
        <vt:i4>1028</vt:i4>
      </vt:variant>
      <vt:variant>
        <vt:i4>0</vt:i4>
      </vt:variant>
      <vt:variant>
        <vt:i4>5</vt:i4>
      </vt:variant>
      <vt:variant>
        <vt:lpwstr/>
      </vt:variant>
      <vt:variant>
        <vt:lpwstr>_Toc353800941</vt:lpwstr>
      </vt:variant>
      <vt:variant>
        <vt:i4>1966137</vt:i4>
      </vt:variant>
      <vt:variant>
        <vt:i4>1022</vt:i4>
      </vt:variant>
      <vt:variant>
        <vt:i4>0</vt:i4>
      </vt:variant>
      <vt:variant>
        <vt:i4>5</vt:i4>
      </vt:variant>
      <vt:variant>
        <vt:lpwstr/>
      </vt:variant>
      <vt:variant>
        <vt:lpwstr>_Toc353800940</vt:lpwstr>
      </vt:variant>
      <vt:variant>
        <vt:i4>1638457</vt:i4>
      </vt:variant>
      <vt:variant>
        <vt:i4>1016</vt:i4>
      </vt:variant>
      <vt:variant>
        <vt:i4>0</vt:i4>
      </vt:variant>
      <vt:variant>
        <vt:i4>5</vt:i4>
      </vt:variant>
      <vt:variant>
        <vt:lpwstr/>
      </vt:variant>
      <vt:variant>
        <vt:lpwstr>_Toc353800939</vt:lpwstr>
      </vt:variant>
      <vt:variant>
        <vt:i4>1638457</vt:i4>
      </vt:variant>
      <vt:variant>
        <vt:i4>1010</vt:i4>
      </vt:variant>
      <vt:variant>
        <vt:i4>0</vt:i4>
      </vt:variant>
      <vt:variant>
        <vt:i4>5</vt:i4>
      </vt:variant>
      <vt:variant>
        <vt:lpwstr/>
      </vt:variant>
      <vt:variant>
        <vt:lpwstr>_Toc353800938</vt:lpwstr>
      </vt:variant>
      <vt:variant>
        <vt:i4>1638457</vt:i4>
      </vt:variant>
      <vt:variant>
        <vt:i4>1004</vt:i4>
      </vt:variant>
      <vt:variant>
        <vt:i4>0</vt:i4>
      </vt:variant>
      <vt:variant>
        <vt:i4>5</vt:i4>
      </vt:variant>
      <vt:variant>
        <vt:lpwstr/>
      </vt:variant>
      <vt:variant>
        <vt:lpwstr>_Toc353800937</vt:lpwstr>
      </vt:variant>
      <vt:variant>
        <vt:i4>1638457</vt:i4>
      </vt:variant>
      <vt:variant>
        <vt:i4>998</vt:i4>
      </vt:variant>
      <vt:variant>
        <vt:i4>0</vt:i4>
      </vt:variant>
      <vt:variant>
        <vt:i4>5</vt:i4>
      </vt:variant>
      <vt:variant>
        <vt:lpwstr/>
      </vt:variant>
      <vt:variant>
        <vt:lpwstr>_Toc353800936</vt:lpwstr>
      </vt:variant>
      <vt:variant>
        <vt:i4>1638457</vt:i4>
      </vt:variant>
      <vt:variant>
        <vt:i4>992</vt:i4>
      </vt:variant>
      <vt:variant>
        <vt:i4>0</vt:i4>
      </vt:variant>
      <vt:variant>
        <vt:i4>5</vt:i4>
      </vt:variant>
      <vt:variant>
        <vt:lpwstr/>
      </vt:variant>
      <vt:variant>
        <vt:lpwstr>_Toc353800935</vt:lpwstr>
      </vt:variant>
      <vt:variant>
        <vt:i4>1638457</vt:i4>
      </vt:variant>
      <vt:variant>
        <vt:i4>986</vt:i4>
      </vt:variant>
      <vt:variant>
        <vt:i4>0</vt:i4>
      </vt:variant>
      <vt:variant>
        <vt:i4>5</vt:i4>
      </vt:variant>
      <vt:variant>
        <vt:lpwstr/>
      </vt:variant>
      <vt:variant>
        <vt:lpwstr>_Toc353800934</vt:lpwstr>
      </vt:variant>
      <vt:variant>
        <vt:i4>1638457</vt:i4>
      </vt:variant>
      <vt:variant>
        <vt:i4>980</vt:i4>
      </vt:variant>
      <vt:variant>
        <vt:i4>0</vt:i4>
      </vt:variant>
      <vt:variant>
        <vt:i4>5</vt:i4>
      </vt:variant>
      <vt:variant>
        <vt:lpwstr/>
      </vt:variant>
      <vt:variant>
        <vt:lpwstr>_Toc353800933</vt:lpwstr>
      </vt:variant>
      <vt:variant>
        <vt:i4>1638457</vt:i4>
      </vt:variant>
      <vt:variant>
        <vt:i4>974</vt:i4>
      </vt:variant>
      <vt:variant>
        <vt:i4>0</vt:i4>
      </vt:variant>
      <vt:variant>
        <vt:i4>5</vt:i4>
      </vt:variant>
      <vt:variant>
        <vt:lpwstr/>
      </vt:variant>
      <vt:variant>
        <vt:lpwstr>_Toc353800932</vt:lpwstr>
      </vt:variant>
      <vt:variant>
        <vt:i4>1638457</vt:i4>
      </vt:variant>
      <vt:variant>
        <vt:i4>968</vt:i4>
      </vt:variant>
      <vt:variant>
        <vt:i4>0</vt:i4>
      </vt:variant>
      <vt:variant>
        <vt:i4>5</vt:i4>
      </vt:variant>
      <vt:variant>
        <vt:lpwstr/>
      </vt:variant>
      <vt:variant>
        <vt:lpwstr>_Toc353800931</vt:lpwstr>
      </vt:variant>
      <vt:variant>
        <vt:i4>1638457</vt:i4>
      </vt:variant>
      <vt:variant>
        <vt:i4>962</vt:i4>
      </vt:variant>
      <vt:variant>
        <vt:i4>0</vt:i4>
      </vt:variant>
      <vt:variant>
        <vt:i4>5</vt:i4>
      </vt:variant>
      <vt:variant>
        <vt:lpwstr/>
      </vt:variant>
      <vt:variant>
        <vt:lpwstr>_Toc353800930</vt:lpwstr>
      </vt:variant>
      <vt:variant>
        <vt:i4>1572921</vt:i4>
      </vt:variant>
      <vt:variant>
        <vt:i4>956</vt:i4>
      </vt:variant>
      <vt:variant>
        <vt:i4>0</vt:i4>
      </vt:variant>
      <vt:variant>
        <vt:i4>5</vt:i4>
      </vt:variant>
      <vt:variant>
        <vt:lpwstr/>
      </vt:variant>
      <vt:variant>
        <vt:lpwstr>_Toc353800929</vt:lpwstr>
      </vt:variant>
      <vt:variant>
        <vt:i4>1572921</vt:i4>
      </vt:variant>
      <vt:variant>
        <vt:i4>950</vt:i4>
      </vt:variant>
      <vt:variant>
        <vt:i4>0</vt:i4>
      </vt:variant>
      <vt:variant>
        <vt:i4>5</vt:i4>
      </vt:variant>
      <vt:variant>
        <vt:lpwstr/>
      </vt:variant>
      <vt:variant>
        <vt:lpwstr>_Toc353800928</vt:lpwstr>
      </vt:variant>
      <vt:variant>
        <vt:i4>1572921</vt:i4>
      </vt:variant>
      <vt:variant>
        <vt:i4>944</vt:i4>
      </vt:variant>
      <vt:variant>
        <vt:i4>0</vt:i4>
      </vt:variant>
      <vt:variant>
        <vt:i4>5</vt:i4>
      </vt:variant>
      <vt:variant>
        <vt:lpwstr/>
      </vt:variant>
      <vt:variant>
        <vt:lpwstr>_Toc353800927</vt:lpwstr>
      </vt:variant>
      <vt:variant>
        <vt:i4>1572921</vt:i4>
      </vt:variant>
      <vt:variant>
        <vt:i4>938</vt:i4>
      </vt:variant>
      <vt:variant>
        <vt:i4>0</vt:i4>
      </vt:variant>
      <vt:variant>
        <vt:i4>5</vt:i4>
      </vt:variant>
      <vt:variant>
        <vt:lpwstr/>
      </vt:variant>
      <vt:variant>
        <vt:lpwstr>_Toc353800926</vt:lpwstr>
      </vt:variant>
      <vt:variant>
        <vt:i4>1572921</vt:i4>
      </vt:variant>
      <vt:variant>
        <vt:i4>932</vt:i4>
      </vt:variant>
      <vt:variant>
        <vt:i4>0</vt:i4>
      </vt:variant>
      <vt:variant>
        <vt:i4>5</vt:i4>
      </vt:variant>
      <vt:variant>
        <vt:lpwstr/>
      </vt:variant>
      <vt:variant>
        <vt:lpwstr>_Toc353800925</vt:lpwstr>
      </vt:variant>
      <vt:variant>
        <vt:i4>1572921</vt:i4>
      </vt:variant>
      <vt:variant>
        <vt:i4>926</vt:i4>
      </vt:variant>
      <vt:variant>
        <vt:i4>0</vt:i4>
      </vt:variant>
      <vt:variant>
        <vt:i4>5</vt:i4>
      </vt:variant>
      <vt:variant>
        <vt:lpwstr/>
      </vt:variant>
      <vt:variant>
        <vt:lpwstr>_Toc353800924</vt:lpwstr>
      </vt:variant>
      <vt:variant>
        <vt:i4>1572921</vt:i4>
      </vt:variant>
      <vt:variant>
        <vt:i4>920</vt:i4>
      </vt:variant>
      <vt:variant>
        <vt:i4>0</vt:i4>
      </vt:variant>
      <vt:variant>
        <vt:i4>5</vt:i4>
      </vt:variant>
      <vt:variant>
        <vt:lpwstr/>
      </vt:variant>
      <vt:variant>
        <vt:lpwstr>_Toc353800923</vt:lpwstr>
      </vt:variant>
      <vt:variant>
        <vt:i4>1572921</vt:i4>
      </vt:variant>
      <vt:variant>
        <vt:i4>914</vt:i4>
      </vt:variant>
      <vt:variant>
        <vt:i4>0</vt:i4>
      </vt:variant>
      <vt:variant>
        <vt:i4>5</vt:i4>
      </vt:variant>
      <vt:variant>
        <vt:lpwstr/>
      </vt:variant>
      <vt:variant>
        <vt:lpwstr>_Toc353800922</vt:lpwstr>
      </vt:variant>
      <vt:variant>
        <vt:i4>1572921</vt:i4>
      </vt:variant>
      <vt:variant>
        <vt:i4>908</vt:i4>
      </vt:variant>
      <vt:variant>
        <vt:i4>0</vt:i4>
      </vt:variant>
      <vt:variant>
        <vt:i4>5</vt:i4>
      </vt:variant>
      <vt:variant>
        <vt:lpwstr/>
      </vt:variant>
      <vt:variant>
        <vt:lpwstr>_Toc353800921</vt:lpwstr>
      </vt:variant>
      <vt:variant>
        <vt:i4>1572921</vt:i4>
      </vt:variant>
      <vt:variant>
        <vt:i4>902</vt:i4>
      </vt:variant>
      <vt:variant>
        <vt:i4>0</vt:i4>
      </vt:variant>
      <vt:variant>
        <vt:i4>5</vt:i4>
      </vt:variant>
      <vt:variant>
        <vt:lpwstr/>
      </vt:variant>
      <vt:variant>
        <vt:lpwstr>_Toc353800920</vt:lpwstr>
      </vt:variant>
      <vt:variant>
        <vt:i4>1769529</vt:i4>
      </vt:variant>
      <vt:variant>
        <vt:i4>896</vt:i4>
      </vt:variant>
      <vt:variant>
        <vt:i4>0</vt:i4>
      </vt:variant>
      <vt:variant>
        <vt:i4>5</vt:i4>
      </vt:variant>
      <vt:variant>
        <vt:lpwstr/>
      </vt:variant>
      <vt:variant>
        <vt:lpwstr>_Toc353800919</vt:lpwstr>
      </vt:variant>
      <vt:variant>
        <vt:i4>1769529</vt:i4>
      </vt:variant>
      <vt:variant>
        <vt:i4>890</vt:i4>
      </vt:variant>
      <vt:variant>
        <vt:i4>0</vt:i4>
      </vt:variant>
      <vt:variant>
        <vt:i4>5</vt:i4>
      </vt:variant>
      <vt:variant>
        <vt:lpwstr/>
      </vt:variant>
      <vt:variant>
        <vt:lpwstr>_Toc353800918</vt:lpwstr>
      </vt:variant>
      <vt:variant>
        <vt:i4>1769529</vt:i4>
      </vt:variant>
      <vt:variant>
        <vt:i4>884</vt:i4>
      </vt:variant>
      <vt:variant>
        <vt:i4>0</vt:i4>
      </vt:variant>
      <vt:variant>
        <vt:i4>5</vt:i4>
      </vt:variant>
      <vt:variant>
        <vt:lpwstr/>
      </vt:variant>
      <vt:variant>
        <vt:lpwstr>_Toc353800917</vt:lpwstr>
      </vt:variant>
      <vt:variant>
        <vt:i4>1769529</vt:i4>
      </vt:variant>
      <vt:variant>
        <vt:i4>878</vt:i4>
      </vt:variant>
      <vt:variant>
        <vt:i4>0</vt:i4>
      </vt:variant>
      <vt:variant>
        <vt:i4>5</vt:i4>
      </vt:variant>
      <vt:variant>
        <vt:lpwstr/>
      </vt:variant>
      <vt:variant>
        <vt:lpwstr>_Toc353800916</vt:lpwstr>
      </vt:variant>
      <vt:variant>
        <vt:i4>1769529</vt:i4>
      </vt:variant>
      <vt:variant>
        <vt:i4>872</vt:i4>
      </vt:variant>
      <vt:variant>
        <vt:i4>0</vt:i4>
      </vt:variant>
      <vt:variant>
        <vt:i4>5</vt:i4>
      </vt:variant>
      <vt:variant>
        <vt:lpwstr/>
      </vt:variant>
      <vt:variant>
        <vt:lpwstr>_Toc353800915</vt:lpwstr>
      </vt:variant>
      <vt:variant>
        <vt:i4>1769529</vt:i4>
      </vt:variant>
      <vt:variant>
        <vt:i4>866</vt:i4>
      </vt:variant>
      <vt:variant>
        <vt:i4>0</vt:i4>
      </vt:variant>
      <vt:variant>
        <vt:i4>5</vt:i4>
      </vt:variant>
      <vt:variant>
        <vt:lpwstr/>
      </vt:variant>
      <vt:variant>
        <vt:lpwstr>_Toc353800914</vt:lpwstr>
      </vt:variant>
      <vt:variant>
        <vt:i4>1769529</vt:i4>
      </vt:variant>
      <vt:variant>
        <vt:i4>860</vt:i4>
      </vt:variant>
      <vt:variant>
        <vt:i4>0</vt:i4>
      </vt:variant>
      <vt:variant>
        <vt:i4>5</vt:i4>
      </vt:variant>
      <vt:variant>
        <vt:lpwstr/>
      </vt:variant>
      <vt:variant>
        <vt:lpwstr>_Toc353800913</vt:lpwstr>
      </vt:variant>
      <vt:variant>
        <vt:i4>1769529</vt:i4>
      </vt:variant>
      <vt:variant>
        <vt:i4>854</vt:i4>
      </vt:variant>
      <vt:variant>
        <vt:i4>0</vt:i4>
      </vt:variant>
      <vt:variant>
        <vt:i4>5</vt:i4>
      </vt:variant>
      <vt:variant>
        <vt:lpwstr/>
      </vt:variant>
      <vt:variant>
        <vt:lpwstr>_Toc353800912</vt:lpwstr>
      </vt:variant>
      <vt:variant>
        <vt:i4>1769529</vt:i4>
      </vt:variant>
      <vt:variant>
        <vt:i4>848</vt:i4>
      </vt:variant>
      <vt:variant>
        <vt:i4>0</vt:i4>
      </vt:variant>
      <vt:variant>
        <vt:i4>5</vt:i4>
      </vt:variant>
      <vt:variant>
        <vt:lpwstr/>
      </vt:variant>
      <vt:variant>
        <vt:lpwstr>_Toc353800911</vt:lpwstr>
      </vt:variant>
      <vt:variant>
        <vt:i4>1769529</vt:i4>
      </vt:variant>
      <vt:variant>
        <vt:i4>842</vt:i4>
      </vt:variant>
      <vt:variant>
        <vt:i4>0</vt:i4>
      </vt:variant>
      <vt:variant>
        <vt:i4>5</vt:i4>
      </vt:variant>
      <vt:variant>
        <vt:lpwstr/>
      </vt:variant>
      <vt:variant>
        <vt:lpwstr>_Toc353800910</vt:lpwstr>
      </vt:variant>
      <vt:variant>
        <vt:i4>1703993</vt:i4>
      </vt:variant>
      <vt:variant>
        <vt:i4>836</vt:i4>
      </vt:variant>
      <vt:variant>
        <vt:i4>0</vt:i4>
      </vt:variant>
      <vt:variant>
        <vt:i4>5</vt:i4>
      </vt:variant>
      <vt:variant>
        <vt:lpwstr/>
      </vt:variant>
      <vt:variant>
        <vt:lpwstr>_Toc353800909</vt:lpwstr>
      </vt:variant>
      <vt:variant>
        <vt:i4>1703993</vt:i4>
      </vt:variant>
      <vt:variant>
        <vt:i4>830</vt:i4>
      </vt:variant>
      <vt:variant>
        <vt:i4>0</vt:i4>
      </vt:variant>
      <vt:variant>
        <vt:i4>5</vt:i4>
      </vt:variant>
      <vt:variant>
        <vt:lpwstr/>
      </vt:variant>
      <vt:variant>
        <vt:lpwstr>_Toc353800908</vt:lpwstr>
      </vt:variant>
      <vt:variant>
        <vt:i4>1703993</vt:i4>
      </vt:variant>
      <vt:variant>
        <vt:i4>824</vt:i4>
      </vt:variant>
      <vt:variant>
        <vt:i4>0</vt:i4>
      </vt:variant>
      <vt:variant>
        <vt:i4>5</vt:i4>
      </vt:variant>
      <vt:variant>
        <vt:lpwstr/>
      </vt:variant>
      <vt:variant>
        <vt:lpwstr>_Toc353800907</vt:lpwstr>
      </vt:variant>
      <vt:variant>
        <vt:i4>1703993</vt:i4>
      </vt:variant>
      <vt:variant>
        <vt:i4>818</vt:i4>
      </vt:variant>
      <vt:variant>
        <vt:i4>0</vt:i4>
      </vt:variant>
      <vt:variant>
        <vt:i4>5</vt:i4>
      </vt:variant>
      <vt:variant>
        <vt:lpwstr/>
      </vt:variant>
      <vt:variant>
        <vt:lpwstr>_Toc353800906</vt:lpwstr>
      </vt:variant>
      <vt:variant>
        <vt:i4>1703993</vt:i4>
      </vt:variant>
      <vt:variant>
        <vt:i4>812</vt:i4>
      </vt:variant>
      <vt:variant>
        <vt:i4>0</vt:i4>
      </vt:variant>
      <vt:variant>
        <vt:i4>5</vt:i4>
      </vt:variant>
      <vt:variant>
        <vt:lpwstr/>
      </vt:variant>
      <vt:variant>
        <vt:lpwstr>_Toc353800905</vt:lpwstr>
      </vt:variant>
      <vt:variant>
        <vt:i4>1703993</vt:i4>
      </vt:variant>
      <vt:variant>
        <vt:i4>806</vt:i4>
      </vt:variant>
      <vt:variant>
        <vt:i4>0</vt:i4>
      </vt:variant>
      <vt:variant>
        <vt:i4>5</vt:i4>
      </vt:variant>
      <vt:variant>
        <vt:lpwstr/>
      </vt:variant>
      <vt:variant>
        <vt:lpwstr>_Toc353800904</vt:lpwstr>
      </vt:variant>
      <vt:variant>
        <vt:i4>1703993</vt:i4>
      </vt:variant>
      <vt:variant>
        <vt:i4>800</vt:i4>
      </vt:variant>
      <vt:variant>
        <vt:i4>0</vt:i4>
      </vt:variant>
      <vt:variant>
        <vt:i4>5</vt:i4>
      </vt:variant>
      <vt:variant>
        <vt:lpwstr/>
      </vt:variant>
      <vt:variant>
        <vt:lpwstr>_Toc353800903</vt:lpwstr>
      </vt:variant>
      <vt:variant>
        <vt:i4>1703993</vt:i4>
      </vt:variant>
      <vt:variant>
        <vt:i4>794</vt:i4>
      </vt:variant>
      <vt:variant>
        <vt:i4>0</vt:i4>
      </vt:variant>
      <vt:variant>
        <vt:i4>5</vt:i4>
      </vt:variant>
      <vt:variant>
        <vt:lpwstr/>
      </vt:variant>
      <vt:variant>
        <vt:lpwstr>_Toc353800902</vt:lpwstr>
      </vt:variant>
      <vt:variant>
        <vt:i4>1703993</vt:i4>
      </vt:variant>
      <vt:variant>
        <vt:i4>788</vt:i4>
      </vt:variant>
      <vt:variant>
        <vt:i4>0</vt:i4>
      </vt:variant>
      <vt:variant>
        <vt:i4>5</vt:i4>
      </vt:variant>
      <vt:variant>
        <vt:lpwstr/>
      </vt:variant>
      <vt:variant>
        <vt:lpwstr>_Toc353800901</vt:lpwstr>
      </vt:variant>
      <vt:variant>
        <vt:i4>1703993</vt:i4>
      </vt:variant>
      <vt:variant>
        <vt:i4>782</vt:i4>
      </vt:variant>
      <vt:variant>
        <vt:i4>0</vt:i4>
      </vt:variant>
      <vt:variant>
        <vt:i4>5</vt:i4>
      </vt:variant>
      <vt:variant>
        <vt:lpwstr/>
      </vt:variant>
      <vt:variant>
        <vt:lpwstr>_Toc353800900</vt:lpwstr>
      </vt:variant>
      <vt:variant>
        <vt:i4>1245240</vt:i4>
      </vt:variant>
      <vt:variant>
        <vt:i4>776</vt:i4>
      </vt:variant>
      <vt:variant>
        <vt:i4>0</vt:i4>
      </vt:variant>
      <vt:variant>
        <vt:i4>5</vt:i4>
      </vt:variant>
      <vt:variant>
        <vt:lpwstr/>
      </vt:variant>
      <vt:variant>
        <vt:lpwstr>_Toc353800899</vt:lpwstr>
      </vt:variant>
      <vt:variant>
        <vt:i4>1245240</vt:i4>
      </vt:variant>
      <vt:variant>
        <vt:i4>770</vt:i4>
      </vt:variant>
      <vt:variant>
        <vt:i4>0</vt:i4>
      </vt:variant>
      <vt:variant>
        <vt:i4>5</vt:i4>
      </vt:variant>
      <vt:variant>
        <vt:lpwstr/>
      </vt:variant>
      <vt:variant>
        <vt:lpwstr>_Toc353800898</vt:lpwstr>
      </vt:variant>
      <vt:variant>
        <vt:i4>1245240</vt:i4>
      </vt:variant>
      <vt:variant>
        <vt:i4>764</vt:i4>
      </vt:variant>
      <vt:variant>
        <vt:i4>0</vt:i4>
      </vt:variant>
      <vt:variant>
        <vt:i4>5</vt:i4>
      </vt:variant>
      <vt:variant>
        <vt:lpwstr/>
      </vt:variant>
      <vt:variant>
        <vt:lpwstr>_Toc353800897</vt:lpwstr>
      </vt:variant>
      <vt:variant>
        <vt:i4>1245240</vt:i4>
      </vt:variant>
      <vt:variant>
        <vt:i4>758</vt:i4>
      </vt:variant>
      <vt:variant>
        <vt:i4>0</vt:i4>
      </vt:variant>
      <vt:variant>
        <vt:i4>5</vt:i4>
      </vt:variant>
      <vt:variant>
        <vt:lpwstr/>
      </vt:variant>
      <vt:variant>
        <vt:lpwstr>_Toc353800896</vt:lpwstr>
      </vt:variant>
      <vt:variant>
        <vt:i4>1245240</vt:i4>
      </vt:variant>
      <vt:variant>
        <vt:i4>752</vt:i4>
      </vt:variant>
      <vt:variant>
        <vt:i4>0</vt:i4>
      </vt:variant>
      <vt:variant>
        <vt:i4>5</vt:i4>
      </vt:variant>
      <vt:variant>
        <vt:lpwstr/>
      </vt:variant>
      <vt:variant>
        <vt:lpwstr>_Toc353800895</vt:lpwstr>
      </vt:variant>
      <vt:variant>
        <vt:i4>1245240</vt:i4>
      </vt:variant>
      <vt:variant>
        <vt:i4>746</vt:i4>
      </vt:variant>
      <vt:variant>
        <vt:i4>0</vt:i4>
      </vt:variant>
      <vt:variant>
        <vt:i4>5</vt:i4>
      </vt:variant>
      <vt:variant>
        <vt:lpwstr/>
      </vt:variant>
      <vt:variant>
        <vt:lpwstr>_Toc353800894</vt:lpwstr>
      </vt:variant>
      <vt:variant>
        <vt:i4>1245240</vt:i4>
      </vt:variant>
      <vt:variant>
        <vt:i4>740</vt:i4>
      </vt:variant>
      <vt:variant>
        <vt:i4>0</vt:i4>
      </vt:variant>
      <vt:variant>
        <vt:i4>5</vt:i4>
      </vt:variant>
      <vt:variant>
        <vt:lpwstr/>
      </vt:variant>
      <vt:variant>
        <vt:lpwstr>_Toc353800893</vt:lpwstr>
      </vt:variant>
      <vt:variant>
        <vt:i4>1245240</vt:i4>
      </vt:variant>
      <vt:variant>
        <vt:i4>734</vt:i4>
      </vt:variant>
      <vt:variant>
        <vt:i4>0</vt:i4>
      </vt:variant>
      <vt:variant>
        <vt:i4>5</vt:i4>
      </vt:variant>
      <vt:variant>
        <vt:lpwstr/>
      </vt:variant>
      <vt:variant>
        <vt:lpwstr>_Toc353800892</vt:lpwstr>
      </vt:variant>
      <vt:variant>
        <vt:i4>1245240</vt:i4>
      </vt:variant>
      <vt:variant>
        <vt:i4>728</vt:i4>
      </vt:variant>
      <vt:variant>
        <vt:i4>0</vt:i4>
      </vt:variant>
      <vt:variant>
        <vt:i4>5</vt:i4>
      </vt:variant>
      <vt:variant>
        <vt:lpwstr/>
      </vt:variant>
      <vt:variant>
        <vt:lpwstr>_Toc353800891</vt:lpwstr>
      </vt:variant>
      <vt:variant>
        <vt:i4>1245240</vt:i4>
      </vt:variant>
      <vt:variant>
        <vt:i4>722</vt:i4>
      </vt:variant>
      <vt:variant>
        <vt:i4>0</vt:i4>
      </vt:variant>
      <vt:variant>
        <vt:i4>5</vt:i4>
      </vt:variant>
      <vt:variant>
        <vt:lpwstr/>
      </vt:variant>
      <vt:variant>
        <vt:lpwstr>_Toc353800890</vt:lpwstr>
      </vt:variant>
      <vt:variant>
        <vt:i4>1179704</vt:i4>
      </vt:variant>
      <vt:variant>
        <vt:i4>716</vt:i4>
      </vt:variant>
      <vt:variant>
        <vt:i4>0</vt:i4>
      </vt:variant>
      <vt:variant>
        <vt:i4>5</vt:i4>
      </vt:variant>
      <vt:variant>
        <vt:lpwstr/>
      </vt:variant>
      <vt:variant>
        <vt:lpwstr>_Toc353800889</vt:lpwstr>
      </vt:variant>
      <vt:variant>
        <vt:i4>1179704</vt:i4>
      </vt:variant>
      <vt:variant>
        <vt:i4>710</vt:i4>
      </vt:variant>
      <vt:variant>
        <vt:i4>0</vt:i4>
      </vt:variant>
      <vt:variant>
        <vt:i4>5</vt:i4>
      </vt:variant>
      <vt:variant>
        <vt:lpwstr/>
      </vt:variant>
      <vt:variant>
        <vt:lpwstr>_Toc353800888</vt:lpwstr>
      </vt:variant>
      <vt:variant>
        <vt:i4>1179704</vt:i4>
      </vt:variant>
      <vt:variant>
        <vt:i4>704</vt:i4>
      </vt:variant>
      <vt:variant>
        <vt:i4>0</vt:i4>
      </vt:variant>
      <vt:variant>
        <vt:i4>5</vt:i4>
      </vt:variant>
      <vt:variant>
        <vt:lpwstr/>
      </vt:variant>
      <vt:variant>
        <vt:lpwstr>_Toc353800887</vt:lpwstr>
      </vt:variant>
      <vt:variant>
        <vt:i4>1179704</vt:i4>
      </vt:variant>
      <vt:variant>
        <vt:i4>698</vt:i4>
      </vt:variant>
      <vt:variant>
        <vt:i4>0</vt:i4>
      </vt:variant>
      <vt:variant>
        <vt:i4>5</vt:i4>
      </vt:variant>
      <vt:variant>
        <vt:lpwstr/>
      </vt:variant>
      <vt:variant>
        <vt:lpwstr>_Toc353800886</vt:lpwstr>
      </vt:variant>
      <vt:variant>
        <vt:i4>1179704</vt:i4>
      </vt:variant>
      <vt:variant>
        <vt:i4>692</vt:i4>
      </vt:variant>
      <vt:variant>
        <vt:i4>0</vt:i4>
      </vt:variant>
      <vt:variant>
        <vt:i4>5</vt:i4>
      </vt:variant>
      <vt:variant>
        <vt:lpwstr/>
      </vt:variant>
      <vt:variant>
        <vt:lpwstr>_Toc353800885</vt:lpwstr>
      </vt:variant>
      <vt:variant>
        <vt:i4>1179704</vt:i4>
      </vt:variant>
      <vt:variant>
        <vt:i4>686</vt:i4>
      </vt:variant>
      <vt:variant>
        <vt:i4>0</vt:i4>
      </vt:variant>
      <vt:variant>
        <vt:i4>5</vt:i4>
      </vt:variant>
      <vt:variant>
        <vt:lpwstr/>
      </vt:variant>
      <vt:variant>
        <vt:lpwstr>_Toc353800884</vt:lpwstr>
      </vt:variant>
      <vt:variant>
        <vt:i4>1179704</vt:i4>
      </vt:variant>
      <vt:variant>
        <vt:i4>680</vt:i4>
      </vt:variant>
      <vt:variant>
        <vt:i4>0</vt:i4>
      </vt:variant>
      <vt:variant>
        <vt:i4>5</vt:i4>
      </vt:variant>
      <vt:variant>
        <vt:lpwstr/>
      </vt:variant>
      <vt:variant>
        <vt:lpwstr>_Toc353800882</vt:lpwstr>
      </vt:variant>
      <vt:variant>
        <vt:i4>1179704</vt:i4>
      </vt:variant>
      <vt:variant>
        <vt:i4>674</vt:i4>
      </vt:variant>
      <vt:variant>
        <vt:i4>0</vt:i4>
      </vt:variant>
      <vt:variant>
        <vt:i4>5</vt:i4>
      </vt:variant>
      <vt:variant>
        <vt:lpwstr/>
      </vt:variant>
      <vt:variant>
        <vt:lpwstr>_Toc353800881</vt:lpwstr>
      </vt:variant>
      <vt:variant>
        <vt:i4>1179704</vt:i4>
      </vt:variant>
      <vt:variant>
        <vt:i4>668</vt:i4>
      </vt:variant>
      <vt:variant>
        <vt:i4>0</vt:i4>
      </vt:variant>
      <vt:variant>
        <vt:i4>5</vt:i4>
      </vt:variant>
      <vt:variant>
        <vt:lpwstr/>
      </vt:variant>
      <vt:variant>
        <vt:lpwstr>_Toc353800880</vt:lpwstr>
      </vt:variant>
      <vt:variant>
        <vt:i4>1900600</vt:i4>
      </vt:variant>
      <vt:variant>
        <vt:i4>662</vt:i4>
      </vt:variant>
      <vt:variant>
        <vt:i4>0</vt:i4>
      </vt:variant>
      <vt:variant>
        <vt:i4>5</vt:i4>
      </vt:variant>
      <vt:variant>
        <vt:lpwstr/>
      </vt:variant>
      <vt:variant>
        <vt:lpwstr>_Toc353800879</vt:lpwstr>
      </vt:variant>
      <vt:variant>
        <vt:i4>1900600</vt:i4>
      </vt:variant>
      <vt:variant>
        <vt:i4>656</vt:i4>
      </vt:variant>
      <vt:variant>
        <vt:i4>0</vt:i4>
      </vt:variant>
      <vt:variant>
        <vt:i4>5</vt:i4>
      </vt:variant>
      <vt:variant>
        <vt:lpwstr/>
      </vt:variant>
      <vt:variant>
        <vt:lpwstr>_Toc353800878</vt:lpwstr>
      </vt:variant>
      <vt:variant>
        <vt:i4>1900600</vt:i4>
      </vt:variant>
      <vt:variant>
        <vt:i4>650</vt:i4>
      </vt:variant>
      <vt:variant>
        <vt:i4>0</vt:i4>
      </vt:variant>
      <vt:variant>
        <vt:i4>5</vt:i4>
      </vt:variant>
      <vt:variant>
        <vt:lpwstr/>
      </vt:variant>
      <vt:variant>
        <vt:lpwstr>_Toc353800877</vt:lpwstr>
      </vt:variant>
      <vt:variant>
        <vt:i4>1900600</vt:i4>
      </vt:variant>
      <vt:variant>
        <vt:i4>644</vt:i4>
      </vt:variant>
      <vt:variant>
        <vt:i4>0</vt:i4>
      </vt:variant>
      <vt:variant>
        <vt:i4>5</vt:i4>
      </vt:variant>
      <vt:variant>
        <vt:lpwstr/>
      </vt:variant>
      <vt:variant>
        <vt:lpwstr>_Toc353800876</vt:lpwstr>
      </vt:variant>
      <vt:variant>
        <vt:i4>1900600</vt:i4>
      </vt:variant>
      <vt:variant>
        <vt:i4>638</vt:i4>
      </vt:variant>
      <vt:variant>
        <vt:i4>0</vt:i4>
      </vt:variant>
      <vt:variant>
        <vt:i4>5</vt:i4>
      </vt:variant>
      <vt:variant>
        <vt:lpwstr/>
      </vt:variant>
      <vt:variant>
        <vt:lpwstr>_Toc353800875</vt:lpwstr>
      </vt:variant>
      <vt:variant>
        <vt:i4>1900600</vt:i4>
      </vt:variant>
      <vt:variant>
        <vt:i4>632</vt:i4>
      </vt:variant>
      <vt:variant>
        <vt:i4>0</vt:i4>
      </vt:variant>
      <vt:variant>
        <vt:i4>5</vt:i4>
      </vt:variant>
      <vt:variant>
        <vt:lpwstr/>
      </vt:variant>
      <vt:variant>
        <vt:lpwstr>_Toc353800874</vt:lpwstr>
      </vt:variant>
      <vt:variant>
        <vt:i4>1900600</vt:i4>
      </vt:variant>
      <vt:variant>
        <vt:i4>626</vt:i4>
      </vt:variant>
      <vt:variant>
        <vt:i4>0</vt:i4>
      </vt:variant>
      <vt:variant>
        <vt:i4>5</vt:i4>
      </vt:variant>
      <vt:variant>
        <vt:lpwstr/>
      </vt:variant>
      <vt:variant>
        <vt:lpwstr>_Toc353800873</vt:lpwstr>
      </vt:variant>
      <vt:variant>
        <vt:i4>1900600</vt:i4>
      </vt:variant>
      <vt:variant>
        <vt:i4>620</vt:i4>
      </vt:variant>
      <vt:variant>
        <vt:i4>0</vt:i4>
      </vt:variant>
      <vt:variant>
        <vt:i4>5</vt:i4>
      </vt:variant>
      <vt:variant>
        <vt:lpwstr/>
      </vt:variant>
      <vt:variant>
        <vt:lpwstr>_Toc353800872</vt:lpwstr>
      </vt:variant>
      <vt:variant>
        <vt:i4>1900600</vt:i4>
      </vt:variant>
      <vt:variant>
        <vt:i4>614</vt:i4>
      </vt:variant>
      <vt:variant>
        <vt:i4>0</vt:i4>
      </vt:variant>
      <vt:variant>
        <vt:i4>5</vt:i4>
      </vt:variant>
      <vt:variant>
        <vt:lpwstr/>
      </vt:variant>
      <vt:variant>
        <vt:lpwstr>_Toc353800871</vt:lpwstr>
      </vt:variant>
      <vt:variant>
        <vt:i4>1900600</vt:i4>
      </vt:variant>
      <vt:variant>
        <vt:i4>608</vt:i4>
      </vt:variant>
      <vt:variant>
        <vt:i4>0</vt:i4>
      </vt:variant>
      <vt:variant>
        <vt:i4>5</vt:i4>
      </vt:variant>
      <vt:variant>
        <vt:lpwstr/>
      </vt:variant>
      <vt:variant>
        <vt:lpwstr>_Toc353800870</vt:lpwstr>
      </vt:variant>
      <vt:variant>
        <vt:i4>1835064</vt:i4>
      </vt:variant>
      <vt:variant>
        <vt:i4>602</vt:i4>
      </vt:variant>
      <vt:variant>
        <vt:i4>0</vt:i4>
      </vt:variant>
      <vt:variant>
        <vt:i4>5</vt:i4>
      </vt:variant>
      <vt:variant>
        <vt:lpwstr/>
      </vt:variant>
      <vt:variant>
        <vt:lpwstr>_Toc353800869</vt:lpwstr>
      </vt:variant>
      <vt:variant>
        <vt:i4>1835064</vt:i4>
      </vt:variant>
      <vt:variant>
        <vt:i4>596</vt:i4>
      </vt:variant>
      <vt:variant>
        <vt:i4>0</vt:i4>
      </vt:variant>
      <vt:variant>
        <vt:i4>5</vt:i4>
      </vt:variant>
      <vt:variant>
        <vt:lpwstr/>
      </vt:variant>
      <vt:variant>
        <vt:lpwstr>_Toc353800868</vt:lpwstr>
      </vt:variant>
      <vt:variant>
        <vt:i4>1835064</vt:i4>
      </vt:variant>
      <vt:variant>
        <vt:i4>590</vt:i4>
      </vt:variant>
      <vt:variant>
        <vt:i4>0</vt:i4>
      </vt:variant>
      <vt:variant>
        <vt:i4>5</vt:i4>
      </vt:variant>
      <vt:variant>
        <vt:lpwstr/>
      </vt:variant>
      <vt:variant>
        <vt:lpwstr>_Toc353800867</vt:lpwstr>
      </vt:variant>
      <vt:variant>
        <vt:i4>1835064</vt:i4>
      </vt:variant>
      <vt:variant>
        <vt:i4>584</vt:i4>
      </vt:variant>
      <vt:variant>
        <vt:i4>0</vt:i4>
      </vt:variant>
      <vt:variant>
        <vt:i4>5</vt:i4>
      </vt:variant>
      <vt:variant>
        <vt:lpwstr/>
      </vt:variant>
      <vt:variant>
        <vt:lpwstr>_Toc353800866</vt:lpwstr>
      </vt:variant>
      <vt:variant>
        <vt:i4>1835064</vt:i4>
      </vt:variant>
      <vt:variant>
        <vt:i4>578</vt:i4>
      </vt:variant>
      <vt:variant>
        <vt:i4>0</vt:i4>
      </vt:variant>
      <vt:variant>
        <vt:i4>5</vt:i4>
      </vt:variant>
      <vt:variant>
        <vt:lpwstr/>
      </vt:variant>
      <vt:variant>
        <vt:lpwstr>_Toc353800865</vt:lpwstr>
      </vt:variant>
      <vt:variant>
        <vt:i4>1835064</vt:i4>
      </vt:variant>
      <vt:variant>
        <vt:i4>572</vt:i4>
      </vt:variant>
      <vt:variant>
        <vt:i4>0</vt:i4>
      </vt:variant>
      <vt:variant>
        <vt:i4>5</vt:i4>
      </vt:variant>
      <vt:variant>
        <vt:lpwstr/>
      </vt:variant>
      <vt:variant>
        <vt:lpwstr>_Toc353800864</vt:lpwstr>
      </vt:variant>
      <vt:variant>
        <vt:i4>1835064</vt:i4>
      </vt:variant>
      <vt:variant>
        <vt:i4>566</vt:i4>
      </vt:variant>
      <vt:variant>
        <vt:i4>0</vt:i4>
      </vt:variant>
      <vt:variant>
        <vt:i4>5</vt:i4>
      </vt:variant>
      <vt:variant>
        <vt:lpwstr/>
      </vt:variant>
      <vt:variant>
        <vt:lpwstr>_Toc353800863</vt:lpwstr>
      </vt:variant>
      <vt:variant>
        <vt:i4>1835064</vt:i4>
      </vt:variant>
      <vt:variant>
        <vt:i4>560</vt:i4>
      </vt:variant>
      <vt:variant>
        <vt:i4>0</vt:i4>
      </vt:variant>
      <vt:variant>
        <vt:i4>5</vt:i4>
      </vt:variant>
      <vt:variant>
        <vt:lpwstr/>
      </vt:variant>
      <vt:variant>
        <vt:lpwstr>_Toc353800862</vt:lpwstr>
      </vt:variant>
      <vt:variant>
        <vt:i4>1835064</vt:i4>
      </vt:variant>
      <vt:variant>
        <vt:i4>554</vt:i4>
      </vt:variant>
      <vt:variant>
        <vt:i4>0</vt:i4>
      </vt:variant>
      <vt:variant>
        <vt:i4>5</vt:i4>
      </vt:variant>
      <vt:variant>
        <vt:lpwstr/>
      </vt:variant>
      <vt:variant>
        <vt:lpwstr>_Toc353800861</vt:lpwstr>
      </vt:variant>
      <vt:variant>
        <vt:i4>1835064</vt:i4>
      </vt:variant>
      <vt:variant>
        <vt:i4>548</vt:i4>
      </vt:variant>
      <vt:variant>
        <vt:i4>0</vt:i4>
      </vt:variant>
      <vt:variant>
        <vt:i4>5</vt:i4>
      </vt:variant>
      <vt:variant>
        <vt:lpwstr/>
      </vt:variant>
      <vt:variant>
        <vt:lpwstr>_Toc353800860</vt:lpwstr>
      </vt:variant>
      <vt:variant>
        <vt:i4>2031672</vt:i4>
      </vt:variant>
      <vt:variant>
        <vt:i4>542</vt:i4>
      </vt:variant>
      <vt:variant>
        <vt:i4>0</vt:i4>
      </vt:variant>
      <vt:variant>
        <vt:i4>5</vt:i4>
      </vt:variant>
      <vt:variant>
        <vt:lpwstr/>
      </vt:variant>
      <vt:variant>
        <vt:lpwstr>_Toc353800859</vt:lpwstr>
      </vt:variant>
      <vt:variant>
        <vt:i4>2031672</vt:i4>
      </vt:variant>
      <vt:variant>
        <vt:i4>536</vt:i4>
      </vt:variant>
      <vt:variant>
        <vt:i4>0</vt:i4>
      </vt:variant>
      <vt:variant>
        <vt:i4>5</vt:i4>
      </vt:variant>
      <vt:variant>
        <vt:lpwstr/>
      </vt:variant>
      <vt:variant>
        <vt:lpwstr>_Toc353800858</vt:lpwstr>
      </vt:variant>
      <vt:variant>
        <vt:i4>2031672</vt:i4>
      </vt:variant>
      <vt:variant>
        <vt:i4>530</vt:i4>
      </vt:variant>
      <vt:variant>
        <vt:i4>0</vt:i4>
      </vt:variant>
      <vt:variant>
        <vt:i4>5</vt:i4>
      </vt:variant>
      <vt:variant>
        <vt:lpwstr/>
      </vt:variant>
      <vt:variant>
        <vt:lpwstr>_Toc353800857</vt:lpwstr>
      </vt:variant>
      <vt:variant>
        <vt:i4>2031672</vt:i4>
      </vt:variant>
      <vt:variant>
        <vt:i4>524</vt:i4>
      </vt:variant>
      <vt:variant>
        <vt:i4>0</vt:i4>
      </vt:variant>
      <vt:variant>
        <vt:i4>5</vt:i4>
      </vt:variant>
      <vt:variant>
        <vt:lpwstr/>
      </vt:variant>
      <vt:variant>
        <vt:lpwstr>_Toc353800856</vt:lpwstr>
      </vt:variant>
      <vt:variant>
        <vt:i4>2031672</vt:i4>
      </vt:variant>
      <vt:variant>
        <vt:i4>518</vt:i4>
      </vt:variant>
      <vt:variant>
        <vt:i4>0</vt:i4>
      </vt:variant>
      <vt:variant>
        <vt:i4>5</vt:i4>
      </vt:variant>
      <vt:variant>
        <vt:lpwstr/>
      </vt:variant>
      <vt:variant>
        <vt:lpwstr>_Toc353800855</vt:lpwstr>
      </vt:variant>
      <vt:variant>
        <vt:i4>2031672</vt:i4>
      </vt:variant>
      <vt:variant>
        <vt:i4>512</vt:i4>
      </vt:variant>
      <vt:variant>
        <vt:i4>0</vt:i4>
      </vt:variant>
      <vt:variant>
        <vt:i4>5</vt:i4>
      </vt:variant>
      <vt:variant>
        <vt:lpwstr/>
      </vt:variant>
      <vt:variant>
        <vt:lpwstr>_Toc353800854</vt:lpwstr>
      </vt:variant>
      <vt:variant>
        <vt:i4>2031672</vt:i4>
      </vt:variant>
      <vt:variant>
        <vt:i4>506</vt:i4>
      </vt:variant>
      <vt:variant>
        <vt:i4>0</vt:i4>
      </vt:variant>
      <vt:variant>
        <vt:i4>5</vt:i4>
      </vt:variant>
      <vt:variant>
        <vt:lpwstr/>
      </vt:variant>
      <vt:variant>
        <vt:lpwstr>_Toc353800853</vt:lpwstr>
      </vt:variant>
      <vt:variant>
        <vt:i4>2031672</vt:i4>
      </vt:variant>
      <vt:variant>
        <vt:i4>500</vt:i4>
      </vt:variant>
      <vt:variant>
        <vt:i4>0</vt:i4>
      </vt:variant>
      <vt:variant>
        <vt:i4>5</vt:i4>
      </vt:variant>
      <vt:variant>
        <vt:lpwstr/>
      </vt:variant>
      <vt:variant>
        <vt:lpwstr>_Toc353800852</vt:lpwstr>
      </vt:variant>
      <vt:variant>
        <vt:i4>2031672</vt:i4>
      </vt:variant>
      <vt:variant>
        <vt:i4>494</vt:i4>
      </vt:variant>
      <vt:variant>
        <vt:i4>0</vt:i4>
      </vt:variant>
      <vt:variant>
        <vt:i4>5</vt:i4>
      </vt:variant>
      <vt:variant>
        <vt:lpwstr/>
      </vt:variant>
      <vt:variant>
        <vt:lpwstr>_Toc353800851</vt:lpwstr>
      </vt:variant>
      <vt:variant>
        <vt:i4>2031672</vt:i4>
      </vt:variant>
      <vt:variant>
        <vt:i4>488</vt:i4>
      </vt:variant>
      <vt:variant>
        <vt:i4>0</vt:i4>
      </vt:variant>
      <vt:variant>
        <vt:i4>5</vt:i4>
      </vt:variant>
      <vt:variant>
        <vt:lpwstr/>
      </vt:variant>
      <vt:variant>
        <vt:lpwstr>_Toc353800850</vt:lpwstr>
      </vt:variant>
      <vt:variant>
        <vt:i4>1966136</vt:i4>
      </vt:variant>
      <vt:variant>
        <vt:i4>482</vt:i4>
      </vt:variant>
      <vt:variant>
        <vt:i4>0</vt:i4>
      </vt:variant>
      <vt:variant>
        <vt:i4>5</vt:i4>
      </vt:variant>
      <vt:variant>
        <vt:lpwstr/>
      </vt:variant>
      <vt:variant>
        <vt:lpwstr>_Toc353800849</vt:lpwstr>
      </vt:variant>
      <vt:variant>
        <vt:i4>1966136</vt:i4>
      </vt:variant>
      <vt:variant>
        <vt:i4>476</vt:i4>
      </vt:variant>
      <vt:variant>
        <vt:i4>0</vt:i4>
      </vt:variant>
      <vt:variant>
        <vt:i4>5</vt:i4>
      </vt:variant>
      <vt:variant>
        <vt:lpwstr/>
      </vt:variant>
      <vt:variant>
        <vt:lpwstr>_Toc353800848</vt:lpwstr>
      </vt:variant>
      <vt:variant>
        <vt:i4>1966136</vt:i4>
      </vt:variant>
      <vt:variant>
        <vt:i4>470</vt:i4>
      </vt:variant>
      <vt:variant>
        <vt:i4>0</vt:i4>
      </vt:variant>
      <vt:variant>
        <vt:i4>5</vt:i4>
      </vt:variant>
      <vt:variant>
        <vt:lpwstr/>
      </vt:variant>
      <vt:variant>
        <vt:lpwstr>_Toc353800847</vt:lpwstr>
      </vt:variant>
      <vt:variant>
        <vt:i4>1966136</vt:i4>
      </vt:variant>
      <vt:variant>
        <vt:i4>464</vt:i4>
      </vt:variant>
      <vt:variant>
        <vt:i4>0</vt:i4>
      </vt:variant>
      <vt:variant>
        <vt:i4>5</vt:i4>
      </vt:variant>
      <vt:variant>
        <vt:lpwstr/>
      </vt:variant>
      <vt:variant>
        <vt:lpwstr>_Toc353800846</vt:lpwstr>
      </vt:variant>
      <vt:variant>
        <vt:i4>1966136</vt:i4>
      </vt:variant>
      <vt:variant>
        <vt:i4>458</vt:i4>
      </vt:variant>
      <vt:variant>
        <vt:i4>0</vt:i4>
      </vt:variant>
      <vt:variant>
        <vt:i4>5</vt:i4>
      </vt:variant>
      <vt:variant>
        <vt:lpwstr/>
      </vt:variant>
      <vt:variant>
        <vt:lpwstr>_Toc353800845</vt:lpwstr>
      </vt:variant>
      <vt:variant>
        <vt:i4>1966136</vt:i4>
      </vt:variant>
      <vt:variant>
        <vt:i4>452</vt:i4>
      </vt:variant>
      <vt:variant>
        <vt:i4>0</vt:i4>
      </vt:variant>
      <vt:variant>
        <vt:i4>5</vt:i4>
      </vt:variant>
      <vt:variant>
        <vt:lpwstr/>
      </vt:variant>
      <vt:variant>
        <vt:lpwstr>_Toc353800844</vt:lpwstr>
      </vt:variant>
      <vt:variant>
        <vt:i4>1966136</vt:i4>
      </vt:variant>
      <vt:variant>
        <vt:i4>446</vt:i4>
      </vt:variant>
      <vt:variant>
        <vt:i4>0</vt:i4>
      </vt:variant>
      <vt:variant>
        <vt:i4>5</vt:i4>
      </vt:variant>
      <vt:variant>
        <vt:lpwstr/>
      </vt:variant>
      <vt:variant>
        <vt:lpwstr>_Toc353800843</vt:lpwstr>
      </vt:variant>
      <vt:variant>
        <vt:i4>1966136</vt:i4>
      </vt:variant>
      <vt:variant>
        <vt:i4>440</vt:i4>
      </vt:variant>
      <vt:variant>
        <vt:i4>0</vt:i4>
      </vt:variant>
      <vt:variant>
        <vt:i4>5</vt:i4>
      </vt:variant>
      <vt:variant>
        <vt:lpwstr/>
      </vt:variant>
      <vt:variant>
        <vt:lpwstr>_Toc353800842</vt:lpwstr>
      </vt:variant>
      <vt:variant>
        <vt:i4>1966136</vt:i4>
      </vt:variant>
      <vt:variant>
        <vt:i4>434</vt:i4>
      </vt:variant>
      <vt:variant>
        <vt:i4>0</vt:i4>
      </vt:variant>
      <vt:variant>
        <vt:i4>5</vt:i4>
      </vt:variant>
      <vt:variant>
        <vt:lpwstr/>
      </vt:variant>
      <vt:variant>
        <vt:lpwstr>_Toc353800841</vt:lpwstr>
      </vt:variant>
      <vt:variant>
        <vt:i4>1966136</vt:i4>
      </vt:variant>
      <vt:variant>
        <vt:i4>428</vt:i4>
      </vt:variant>
      <vt:variant>
        <vt:i4>0</vt:i4>
      </vt:variant>
      <vt:variant>
        <vt:i4>5</vt:i4>
      </vt:variant>
      <vt:variant>
        <vt:lpwstr/>
      </vt:variant>
      <vt:variant>
        <vt:lpwstr>_Toc353800840</vt:lpwstr>
      </vt:variant>
      <vt:variant>
        <vt:i4>1638456</vt:i4>
      </vt:variant>
      <vt:variant>
        <vt:i4>422</vt:i4>
      </vt:variant>
      <vt:variant>
        <vt:i4>0</vt:i4>
      </vt:variant>
      <vt:variant>
        <vt:i4>5</vt:i4>
      </vt:variant>
      <vt:variant>
        <vt:lpwstr/>
      </vt:variant>
      <vt:variant>
        <vt:lpwstr>_Toc353800839</vt:lpwstr>
      </vt:variant>
      <vt:variant>
        <vt:i4>1638456</vt:i4>
      </vt:variant>
      <vt:variant>
        <vt:i4>416</vt:i4>
      </vt:variant>
      <vt:variant>
        <vt:i4>0</vt:i4>
      </vt:variant>
      <vt:variant>
        <vt:i4>5</vt:i4>
      </vt:variant>
      <vt:variant>
        <vt:lpwstr/>
      </vt:variant>
      <vt:variant>
        <vt:lpwstr>_Toc353800838</vt:lpwstr>
      </vt:variant>
      <vt:variant>
        <vt:i4>1638456</vt:i4>
      </vt:variant>
      <vt:variant>
        <vt:i4>410</vt:i4>
      </vt:variant>
      <vt:variant>
        <vt:i4>0</vt:i4>
      </vt:variant>
      <vt:variant>
        <vt:i4>5</vt:i4>
      </vt:variant>
      <vt:variant>
        <vt:lpwstr/>
      </vt:variant>
      <vt:variant>
        <vt:lpwstr>_Toc353800837</vt:lpwstr>
      </vt:variant>
      <vt:variant>
        <vt:i4>1638456</vt:i4>
      </vt:variant>
      <vt:variant>
        <vt:i4>404</vt:i4>
      </vt:variant>
      <vt:variant>
        <vt:i4>0</vt:i4>
      </vt:variant>
      <vt:variant>
        <vt:i4>5</vt:i4>
      </vt:variant>
      <vt:variant>
        <vt:lpwstr/>
      </vt:variant>
      <vt:variant>
        <vt:lpwstr>_Toc353800836</vt:lpwstr>
      </vt:variant>
      <vt:variant>
        <vt:i4>1638456</vt:i4>
      </vt:variant>
      <vt:variant>
        <vt:i4>398</vt:i4>
      </vt:variant>
      <vt:variant>
        <vt:i4>0</vt:i4>
      </vt:variant>
      <vt:variant>
        <vt:i4>5</vt:i4>
      </vt:variant>
      <vt:variant>
        <vt:lpwstr/>
      </vt:variant>
      <vt:variant>
        <vt:lpwstr>_Toc353800835</vt:lpwstr>
      </vt:variant>
      <vt:variant>
        <vt:i4>1638456</vt:i4>
      </vt:variant>
      <vt:variant>
        <vt:i4>392</vt:i4>
      </vt:variant>
      <vt:variant>
        <vt:i4>0</vt:i4>
      </vt:variant>
      <vt:variant>
        <vt:i4>5</vt:i4>
      </vt:variant>
      <vt:variant>
        <vt:lpwstr/>
      </vt:variant>
      <vt:variant>
        <vt:lpwstr>_Toc353800834</vt:lpwstr>
      </vt:variant>
      <vt:variant>
        <vt:i4>1638456</vt:i4>
      </vt:variant>
      <vt:variant>
        <vt:i4>386</vt:i4>
      </vt:variant>
      <vt:variant>
        <vt:i4>0</vt:i4>
      </vt:variant>
      <vt:variant>
        <vt:i4>5</vt:i4>
      </vt:variant>
      <vt:variant>
        <vt:lpwstr/>
      </vt:variant>
      <vt:variant>
        <vt:lpwstr>_Toc353800833</vt:lpwstr>
      </vt:variant>
      <vt:variant>
        <vt:i4>1638456</vt:i4>
      </vt:variant>
      <vt:variant>
        <vt:i4>380</vt:i4>
      </vt:variant>
      <vt:variant>
        <vt:i4>0</vt:i4>
      </vt:variant>
      <vt:variant>
        <vt:i4>5</vt:i4>
      </vt:variant>
      <vt:variant>
        <vt:lpwstr/>
      </vt:variant>
      <vt:variant>
        <vt:lpwstr>_Toc353800832</vt:lpwstr>
      </vt:variant>
      <vt:variant>
        <vt:i4>1638456</vt:i4>
      </vt:variant>
      <vt:variant>
        <vt:i4>374</vt:i4>
      </vt:variant>
      <vt:variant>
        <vt:i4>0</vt:i4>
      </vt:variant>
      <vt:variant>
        <vt:i4>5</vt:i4>
      </vt:variant>
      <vt:variant>
        <vt:lpwstr/>
      </vt:variant>
      <vt:variant>
        <vt:lpwstr>_Toc353800831</vt:lpwstr>
      </vt:variant>
      <vt:variant>
        <vt:i4>1638456</vt:i4>
      </vt:variant>
      <vt:variant>
        <vt:i4>368</vt:i4>
      </vt:variant>
      <vt:variant>
        <vt:i4>0</vt:i4>
      </vt:variant>
      <vt:variant>
        <vt:i4>5</vt:i4>
      </vt:variant>
      <vt:variant>
        <vt:lpwstr/>
      </vt:variant>
      <vt:variant>
        <vt:lpwstr>_Toc353800830</vt:lpwstr>
      </vt:variant>
      <vt:variant>
        <vt:i4>1572920</vt:i4>
      </vt:variant>
      <vt:variant>
        <vt:i4>362</vt:i4>
      </vt:variant>
      <vt:variant>
        <vt:i4>0</vt:i4>
      </vt:variant>
      <vt:variant>
        <vt:i4>5</vt:i4>
      </vt:variant>
      <vt:variant>
        <vt:lpwstr/>
      </vt:variant>
      <vt:variant>
        <vt:lpwstr>_Toc353800829</vt:lpwstr>
      </vt:variant>
      <vt:variant>
        <vt:i4>1572920</vt:i4>
      </vt:variant>
      <vt:variant>
        <vt:i4>356</vt:i4>
      </vt:variant>
      <vt:variant>
        <vt:i4>0</vt:i4>
      </vt:variant>
      <vt:variant>
        <vt:i4>5</vt:i4>
      </vt:variant>
      <vt:variant>
        <vt:lpwstr/>
      </vt:variant>
      <vt:variant>
        <vt:lpwstr>_Toc353800828</vt:lpwstr>
      </vt:variant>
      <vt:variant>
        <vt:i4>1572920</vt:i4>
      </vt:variant>
      <vt:variant>
        <vt:i4>350</vt:i4>
      </vt:variant>
      <vt:variant>
        <vt:i4>0</vt:i4>
      </vt:variant>
      <vt:variant>
        <vt:i4>5</vt:i4>
      </vt:variant>
      <vt:variant>
        <vt:lpwstr/>
      </vt:variant>
      <vt:variant>
        <vt:lpwstr>_Toc353800827</vt:lpwstr>
      </vt:variant>
      <vt:variant>
        <vt:i4>1572920</vt:i4>
      </vt:variant>
      <vt:variant>
        <vt:i4>344</vt:i4>
      </vt:variant>
      <vt:variant>
        <vt:i4>0</vt:i4>
      </vt:variant>
      <vt:variant>
        <vt:i4>5</vt:i4>
      </vt:variant>
      <vt:variant>
        <vt:lpwstr/>
      </vt:variant>
      <vt:variant>
        <vt:lpwstr>_Toc353800826</vt:lpwstr>
      </vt:variant>
      <vt:variant>
        <vt:i4>1572920</vt:i4>
      </vt:variant>
      <vt:variant>
        <vt:i4>338</vt:i4>
      </vt:variant>
      <vt:variant>
        <vt:i4>0</vt:i4>
      </vt:variant>
      <vt:variant>
        <vt:i4>5</vt:i4>
      </vt:variant>
      <vt:variant>
        <vt:lpwstr/>
      </vt:variant>
      <vt:variant>
        <vt:lpwstr>_Toc353800825</vt:lpwstr>
      </vt:variant>
      <vt:variant>
        <vt:i4>1572920</vt:i4>
      </vt:variant>
      <vt:variant>
        <vt:i4>332</vt:i4>
      </vt:variant>
      <vt:variant>
        <vt:i4>0</vt:i4>
      </vt:variant>
      <vt:variant>
        <vt:i4>5</vt:i4>
      </vt:variant>
      <vt:variant>
        <vt:lpwstr/>
      </vt:variant>
      <vt:variant>
        <vt:lpwstr>_Toc353800824</vt:lpwstr>
      </vt:variant>
      <vt:variant>
        <vt:i4>1572920</vt:i4>
      </vt:variant>
      <vt:variant>
        <vt:i4>326</vt:i4>
      </vt:variant>
      <vt:variant>
        <vt:i4>0</vt:i4>
      </vt:variant>
      <vt:variant>
        <vt:i4>5</vt:i4>
      </vt:variant>
      <vt:variant>
        <vt:lpwstr/>
      </vt:variant>
      <vt:variant>
        <vt:lpwstr>_Toc353800823</vt:lpwstr>
      </vt:variant>
      <vt:variant>
        <vt:i4>1572920</vt:i4>
      </vt:variant>
      <vt:variant>
        <vt:i4>320</vt:i4>
      </vt:variant>
      <vt:variant>
        <vt:i4>0</vt:i4>
      </vt:variant>
      <vt:variant>
        <vt:i4>5</vt:i4>
      </vt:variant>
      <vt:variant>
        <vt:lpwstr/>
      </vt:variant>
      <vt:variant>
        <vt:lpwstr>_Toc353800822</vt:lpwstr>
      </vt:variant>
      <vt:variant>
        <vt:i4>1572920</vt:i4>
      </vt:variant>
      <vt:variant>
        <vt:i4>314</vt:i4>
      </vt:variant>
      <vt:variant>
        <vt:i4>0</vt:i4>
      </vt:variant>
      <vt:variant>
        <vt:i4>5</vt:i4>
      </vt:variant>
      <vt:variant>
        <vt:lpwstr/>
      </vt:variant>
      <vt:variant>
        <vt:lpwstr>_Toc353800821</vt:lpwstr>
      </vt:variant>
      <vt:variant>
        <vt:i4>1572920</vt:i4>
      </vt:variant>
      <vt:variant>
        <vt:i4>308</vt:i4>
      </vt:variant>
      <vt:variant>
        <vt:i4>0</vt:i4>
      </vt:variant>
      <vt:variant>
        <vt:i4>5</vt:i4>
      </vt:variant>
      <vt:variant>
        <vt:lpwstr/>
      </vt:variant>
      <vt:variant>
        <vt:lpwstr>_Toc353800820</vt:lpwstr>
      </vt:variant>
      <vt:variant>
        <vt:i4>1769528</vt:i4>
      </vt:variant>
      <vt:variant>
        <vt:i4>302</vt:i4>
      </vt:variant>
      <vt:variant>
        <vt:i4>0</vt:i4>
      </vt:variant>
      <vt:variant>
        <vt:i4>5</vt:i4>
      </vt:variant>
      <vt:variant>
        <vt:lpwstr/>
      </vt:variant>
      <vt:variant>
        <vt:lpwstr>_Toc353800819</vt:lpwstr>
      </vt:variant>
      <vt:variant>
        <vt:i4>1769528</vt:i4>
      </vt:variant>
      <vt:variant>
        <vt:i4>296</vt:i4>
      </vt:variant>
      <vt:variant>
        <vt:i4>0</vt:i4>
      </vt:variant>
      <vt:variant>
        <vt:i4>5</vt:i4>
      </vt:variant>
      <vt:variant>
        <vt:lpwstr/>
      </vt:variant>
      <vt:variant>
        <vt:lpwstr>_Toc353800818</vt:lpwstr>
      </vt:variant>
      <vt:variant>
        <vt:i4>1769528</vt:i4>
      </vt:variant>
      <vt:variant>
        <vt:i4>290</vt:i4>
      </vt:variant>
      <vt:variant>
        <vt:i4>0</vt:i4>
      </vt:variant>
      <vt:variant>
        <vt:i4>5</vt:i4>
      </vt:variant>
      <vt:variant>
        <vt:lpwstr/>
      </vt:variant>
      <vt:variant>
        <vt:lpwstr>_Toc353800817</vt:lpwstr>
      </vt:variant>
      <vt:variant>
        <vt:i4>1769528</vt:i4>
      </vt:variant>
      <vt:variant>
        <vt:i4>284</vt:i4>
      </vt:variant>
      <vt:variant>
        <vt:i4>0</vt:i4>
      </vt:variant>
      <vt:variant>
        <vt:i4>5</vt:i4>
      </vt:variant>
      <vt:variant>
        <vt:lpwstr/>
      </vt:variant>
      <vt:variant>
        <vt:lpwstr>_Toc353800816</vt:lpwstr>
      </vt:variant>
      <vt:variant>
        <vt:i4>1769528</vt:i4>
      </vt:variant>
      <vt:variant>
        <vt:i4>278</vt:i4>
      </vt:variant>
      <vt:variant>
        <vt:i4>0</vt:i4>
      </vt:variant>
      <vt:variant>
        <vt:i4>5</vt:i4>
      </vt:variant>
      <vt:variant>
        <vt:lpwstr/>
      </vt:variant>
      <vt:variant>
        <vt:lpwstr>_Toc353800815</vt:lpwstr>
      </vt:variant>
      <vt:variant>
        <vt:i4>1769528</vt:i4>
      </vt:variant>
      <vt:variant>
        <vt:i4>272</vt:i4>
      </vt:variant>
      <vt:variant>
        <vt:i4>0</vt:i4>
      </vt:variant>
      <vt:variant>
        <vt:i4>5</vt:i4>
      </vt:variant>
      <vt:variant>
        <vt:lpwstr/>
      </vt:variant>
      <vt:variant>
        <vt:lpwstr>_Toc353800814</vt:lpwstr>
      </vt:variant>
      <vt:variant>
        <vt:i4>1769528</vt:i4>
      </vt:variant>
      <vt:variant>
        <vt:i4>266</vt:i4>
      </vt:variant>
      <vt:variant>
        <vt:i4>0</vt:i4>
      </vt:variant>
      <vt:variant>
        <vt:i4>5</vt:i4>
      </vt:variant>
      <vt:variant>
        <vt:lpwstr/>
      </vt:variant>
      <vt:variant>
        <vt:lpwstr>_Toc353800813</vt:lpwstr>
      </vt:variant>
      <vt:variant>
        <vt:i4>1769528</vt:i4>
      </vt:variant>
      <vt:variant>
        <vt:i4>260</vt:i4>
      </vt:variant>
      <vt:variant>
        <vt:i4>0</vt:i4>
      </vt:variant>
      <vt:variant>
        <vt:i4>5</vt:i4>
      </vt:variant>
      <vt:variant>
        <vt:lpwstr/>
      </vt:variant>
      <vt:variant>
        <vt:lpwstr>_Toc353800812</vt:lpwstr>
      </vt:variant>
      <vt:variant>
        <vt:i4>1769528</vt:i4>
      </vt:variant>
      <vt:variant>
        <vt:i4>254</vt:i4>
      </vt:variant>
      <vt:variant>
        <vt:i4>0</vt:i4>
      </vt:variant>
      <vt:variant>
        <vt:i4>5</vt:i4>
      </vt:variant>
      <vt:variant>
        <vt:lpwstr/>
      </vt:variant>
      <vt:variant>
        <vt:lpwstr>_Toc353800811</vt:lpwstr>
      </vt:variant>
      <vt:variant>
        <vt:i4>1769528</vt:i4>
      </vt:variant>
      <vt:variant>
        <vt:i4>248</vt:i4>
      </vt:variant>
      <vt:variant>
        <vt:i4>0</vt:i4>
      </vt:variant>
      <vt:variant>
        <vt:i4>5</vt:i4>
      </vt:variant>
      <vt:variant>
        <vt:lpwstr/>
      </vt:variant>
      <vt:variant>
        <vt:lpwstr>_Toc353800810</vt:lpwstr>
      </vt:variant>
      <vt:variant>
        <vt:i4>1703992</vt:i4>
      </vt:variant>
      <vt:variant>
        <vt:i4>242</vt:i4>
      </vt:variant>
      <vt:variant>
        <vt:i4>0</vt:i4>
      </vt:variant>
      <vt:variant>
        <vt:i4>5</vt:i4>
      </vt:variant>
      <vt:variant>
        <vt:lpwstr/>
      </vt:variant>
      <vt:variant>
        <vt:lpwstr>_Toc353800809</vt:lpwstr>
      </vt:variant>
      <vt:variant>
        <vt:i4>1703992</vt:i4>
      </vt:variant>
      <vt:variant>
        <vt:i4>236</vt:i4>
      </vt:variant>
      <vt:variant>
        <vt:i4>0</vt:i4>
      </vt:variant>
      <vt:variant>
        <vt:i4>5</vt:i4>
      </vt:variant>
      <vt:variant>
        <vt:lpwstr/>
      </vt:variant>
      <vt:variant>
        <vt:lpwstr>_Toc353800808</vt:lpwstr>
      </vt:variant>
      <vt:variant>
        <vt:i4>1703992</vt:i4>
      </vt:variant>
      <vt:variant>
        <vt:i4>230</vt:i4>
      </vt:variant>
      <vt:variant>
        <vt:i4>0</vt:i4>
      </vt:variant>
      <vt:variant>
        <vt:i4>5</vt:i4>
      </vt:variant>
      <vt:variant>
        <vt:lpwstr/>
      </vt:variant>
      <vt:variant>
        <vt:lpwstr>_Toc353800807</vt:lpwstr>
      </vt:variant>
      <vt:variant>
        <vt:i4>1703992</vt:i4>
      </vt:variant>
      <vt:variant>
        <vt:i4>224</vt:i4>
      </vt:variant>
      <vt:variant>
        <vt:i4>0</vt:i4>
      </vt:variant>
      <vt:variant>
        <vt:i4>5</vt:i4>
      </vt:variant>
      <vt:variant>
        <vt:lpwstr/>
      </vt:variant>
      <vt:variant>
        <vt:lpwstr>_Toc353800806</vt:lpwstr>
      </vt:variant>
      <vt:variant>
        <vt:i4>1703992</vt:i4>
      </vt:variant>
      <vt:variant>
        <vt:i4>218</vt:i4>
      </vt:variant>
      <vt:variant>
        <vt:i4>0</vt:i4>
      </vt:variant>
      <vt:variant>
        <vt:i4>5</vt:i4>
      </vt:variant>
      <vt:variant>
        <vt:lpwstr/>
      </vt:variant>
      <vt:variant>
        <vt:lpwstr>_Toc353800805</vt:lpwstr>
      </vt:variant>
      <vt:variant>
        <vt:i4>1703992</vt:i4>
      </vt:variant>
      <vt:variant>
        <vt:i4>212</vt:i4>
      </vt:variant>
      <vt:variant>
        <vt:i4>0</vt:i4>
      </vt:variant>
      <vt:variant>
        <vt:i4>5</vt:i4>
      </vt:variant>
      <vt:variant>
        <vt:lpwstr/>
      </vt:variant>
      <vt:variant>
        <vt:lpwstr>_Toc353800804</vt:lpwstr>
      </vt:variant>
      <vt:variant>
        <vt:i4>1703992</vt:i4>
      </vt:variant>
      <vt:variant>
        <vt:i4>206</vt:i4>
      </vt:variant>
      <vt:variant>
        <vt:i4>0</vt:i4>
      </vt:variant>
      <vt:variant>
        <vt:i4>5</vt:i4>
      </vt:variant>
      <vt:variant>
        <vt:lpwstr/>
      </vt:variant>
      <vt:variant>
        <vt:lpwstr>_Toc353800803</vt:lpwstr>
      </vt:variant>
      <vt:variant>
        <vt:i4>1703992</vt:i4>
      </vt:variant>
      <vt:variant>
        <vt:i4>200</vt:i4>
      </vt:variant>
      <vt:variant>
        <vt:i4>0</vt:i4>
      </vt:variant>
      <vt:variant>
        <vt:i4>5</vt:i4>
      </vt:variant>
      <vt:variant>
        <vt:lpwstr/>
      </vt:variant>
      <vt:variant>
        <vt:lpwstr>_Toc353800802</vt:lpwstr>
      </vt:variant>
      <vt:variant>
        <vt:i4>1703992</vt:i4>
      </vt:variant>
      <vt:variant>
        <vt:i4>194</vt:i4>
      </vt:variant>
      <vt:variant>
        <vt:i4>0</vt:i4>
      </vt:variant>
      <vt:variant>
        <vt:i4>5</vt:i4>
      </vt:variant>
      <vt:variant>
        <vt:lpwstr/>
      </vt:variant>
      <vt:variant>
        <vt:lpwstr>_Toc353800801</vt:lpwstr>
      </vt:variant>
      <vt:variant>
        <vt:i4>1703992</vt:i4>
      </vt:variant>
      <vt:variant>
        <vt:i4>188</vt:i4>
      </vt:variant>
      <vt:variant>
        <vt:i4>0</vt:i4>
      </vt:variant>
      <vt:variant>
        <vt:i4>5</vt:i4>
      </vt:variant>
      <vt:variant>
        <vt:lpwstr/>
      </vt:variant>
      <vt:variant>
        <vt:lpwstr>_Toc353800800</vt:lpwstr>
      </vt:variant>
      <vt:variant>
        <vt:i4>1245239</vt:i4>
      </vt:variant>
      <vt:variant>
        <vt:i4>182</vt:i4>
      </vt:variant>
      <vt:variant>
        <vt:i4>0</vt:i4>
      </vt:variant>
      <vt:variant>
        <vt:i4>5</vt:i4>
      </vt:variant>
      <vt:variant>
        <vt:lpwstr/>
      </vt:variant>
      <vt:variant>
        <vt:lpwstr>_Toc353800799</vt:lpwstr>
      </vt:variant>
      <vt:variant>
        <vt:i4>1245239</vt:i4>
      </vt:variant>
      <vt:variant>
        <vt:i4>176</vt:i4>
      </vt:variant>
      <vt:variant>
        <vt:i4>0</vt:i4>
      </vt:variant>
      <vt:variant>
        <vt:i4>5</vt:i4>
      </vt:variant>
      <vt:variant>
        <vt:lpwstr/>
      </vt:variant>
      <vt:variant>
        <vt:lpwstr>_Toc353800798</vt:lpwstr>
      </vt:variant>
      <vt:variant>
        <vt:i4>1245239</vt:i4>
      </vt:variant>
      <vt:variant>
        <vt:i4>170</vt:i4>
      </vt:variant>
      <vt:variant>
        <vt:i4>0</vt:i4>
      </vt:variant>
      <vt:variant>
        <vt:i4>5</vt:i4>
      </vt:variant>
      <vt:variant>
        <vt:lpwstr/>
      </vt:variant>
      <vt:variant>
        <vt:lpwstr>_Toc353800797</vt:lpwstr>
      </vt:variant>
      <vt:variant>
        <vt:i4>1245239</vt:i4>
      </vt:variant>
      <vt:variant>
        <vt:i4>164</vt:i4>
      </vt:variant>
      <vt:variant>
        <vt:i4>0</vt:i4>
      </vt:variant>
      <vt:variant>
        <vt:i4>5</vt:i4>
      </vt:variant>
      <vt:variant>
        <vt:lpwstr/>
      </vt:variant>
      <vt:variant>
        <vt:lpwstr>_Toc353800796</vt:lpwstr>
      </vt:variant>
      <vt:variant>
        <vt:i4>1245239</vt:i4>
      </vt:variant>
      <vt:variant>
        <vt:i4>158</vt:i4>
      </vt:variant>
      <vt:variant>
        <vt:i4>0</vt:i4>
      </vt:variant>
      <vt:variant>
        <vt:i4>5</vt:i4>
      </vt:variant>
      <vt:variant>
        <vt:lpwstr/>
      </vt:variant>
      <vt:variant>
        <vt:lpwstr>_Toc353800795</vt:lpwstr>
      </vt:variant>
      <vt:variant>
        <vt:i4>1245239</vt:i4>
      </vt:variant>
      <vt:variant>
        <vt:i4>152</vt:i4>
      </vt:variant>
      <vt:variant>
        <vt:i4>0</vt:i4>
      </vt:variant>
      <vt:variant>
        <vt:i4>5</vt:i4>
      </vt:variant>
      <vt:variant>
        <vt:lpwstr/>
      </vt:variant>
      <vt:variant>
        <vt:lpwstr>_Toc353800794</vt:lpwstr>
      </vt:variant>
      <vt:variant>
        <vt:i4>1245239</vt:i4>
      </vt:variant>
      <vt:variant>
        <vt:i4>146</vt:i4>
      </vt:variant>
      <vt:variant>
        <vt:i4>0</vt:i4>
      </vt:variant>
      <vt:variant>
        <vt:i4>5</vt:i4>
      </vt:variant>
      <vt:variant>
        <vt:lpwstr/>
      </vt:variant>
      <vt:variant>
        <vt:lpwstr>_Toc353800793</vt:lpwstr>
      </vt:variant>
      <vt:variant>
        <vt:i4>1245239</vt:i4>
      </vt:variant>
      <vt:variant>
        <vt:i4>140</vt:i4>
      </vt:variant>
      <vt:variant>
        <vt:i4>0</vt:i4>
      </vt:variant>
      <vt:variant>
        <vt:i4>5</vt:i4>
      </vt:variant>
      <vt:variant>
        <vt:lpwstr/>
      </vt:variant>
      <vt:variant>
        <vt:lpwstr>_Toc353800792</vt:lpwstr>
      </vt:variant>
      <vt:variant>
        <vt:i4>1245239</vt:i4>
      </vt:variant>
      <vt:variant>
        <vt:i4>134</vt:i4>
      </vt:variant>
      <vt:variant>
        <vt:i4>0</vt:i4>
      </vt:variant>
      <vt:variant>
        <vt:i4>5</vt:i4>
      </vt:variant>
      <vt:variant>
        <vt:lpwstr/>
      </vt:variant>
      <vt:variant>
        <vt:lpwstr>_Toc353800791</vt:lpwstr>
      </vt:variant>
      <vt:variant>
        <vt:i4>1245239</vt:i4>
      </vt:variant>
      <vt:variant>
        <vt:i4>128</vt:i4>
      </vt:variant>
      <vt:variant>
        <vt:i4>0</vt:i4>
      </vt:variant>
      <vt:variant>
        <vt:i4>5</vt:i4>
      </vt:variant>
      <vt:variant>
        <vt:lpwstr/>
      </vt:variant>
      <vt:variant>
        <vt:lpwstr>_Toc353800790</vt:lpwstr>
      </vt:variant>
      <vt:variant>
        <vt:i4>1179703</vt:i4>
      </vt:variant>
      <vt:variant>
        <vt:i4>122</vt:i4>
      </vt:variant>
      <vt:variant>
        <vt:i4>0</vt:i4>
      </vt:variant>
      <vt:variant>
        <vt:i4>5</vt:i4>
      </vt:variant>
      <vt:variant>
        <vt:lpwstr/>
      </vt:variant>
      <vt:variant>
        <vt:lpwstr>_Toc353800789</vt:lpwstr>
      </vt:variant>
      <vt:variant>
        <vt:i4>1179703</vt:i4>
      </vt:variant>
      <vt:variant>
        <vt:i4>116</vt:i4>
      </vt:variant>
      <vt:variant>
        <vt:i4>0</vt:i4>
      </vt:variant>
      <vt:variant>
        <vt:i4>5</vt:i4>
      </vt:variant>
      <vt:variant>
        <vt:lpwstr/>
      </vt:variant>
      <vt:variant>
        <vt:lpwstr>_Toc353800788</vt:lpwstr>
      </vt:variant>
      <vt:variant>
        <vt:i4>1179703</vt:i4>
      </vt:variant>
      <vt:variant>
        <vt:i4>110</vt:i4>
      </vt:variant>
      <vt:variant>
        <vt:i4>0</vt:i4>
      </vt:variant>
      <vt:variant>
        <vt:i4>5</vt:i4>
      </vt:variant>
      <vt:variant>
        <vt:lpwstr/>
      </vt:variant>
      <vt:variant>
        <vt:lpwstr>_Toc353800787</vt:lpwstr>
      </vt:variant>
      <vt:variant>
        <vt:i4>1179703</vt:i4>
      </vt:variant>
      <vt:variant>
        <vt:i4>104</vt:i4>
      </vt:variant>
      <vt:variant>
        <vt:i4>0</vt:i4>
      </vt:variant>
      <vt:variant>
        <vt:i4>5</vt:i4>
      </vt:variant>
      <vt:variant>
        <vt:lpwstr/>
      </vt:variant>
      <vt:variant>
        <vt:lpwstr>_Toc353800786</vt:lpwstr>
      </vt:variant>
      <vt:variant>
        <vt:i4>1179703</vt:i4>
      </vt:variant>
      <vt:variant>
        <vt:i4>98</vt:i4>
      </vt:variant>
      <vt:variant>
        <vt:i4>0</vt:i4>
      </vt:variant>
      <vt:variant>
        <vt:i4>5</vt:i4>
      </vt:variant>
      <vt:variant>
        <vt:lpwstr/>
      </vt:variant>
      <vt:variant>
        <vt:lpwstr>_Toc353800785</vt:lpwstr>
      </vt:variant>
      <vt:variant>
        <vt:i4>1179703</vt:i4>
      </vt:variant>
      <vt:variant>
        <vt:i4>92</vt:i4>
      </vt:variant>
      <vt:variant>
        <vt:i4>0</vt:i4>
      </vt:variant>
      <vt:variant>
        <vt:i4>5</vt:i4>
      </vt:variant>
      <vt:variant>
        <vt:lpwstr/>
      </vt:variant>
      <vt:variant>
        <vt:lpwstr>_Toc353800784</vt:lpwstr>
      </vt:variant>
      <vt:variant>
        <vt:i4>1179703</vt:i4>
      </vt:variant>
      <vt:variant>
        <vt:i4>86</vt:i4>
      </vt:variant>
      <vt:variant>
        <vt:i4>0</vt:i4>
      </vt:variant>
      <vt:variant>
        <vt:i4>5</vt:i4>
      </vt:variant>
      <vt:variant>
        <vt:lpwstr/>
      </vt:variant>
      <vt:variant>
        <vt:lpwstr>_Toc353800783</vt:lpwstr>
      </vt:variant>
      <vt:variant>
        <vt:i4>1179703</vt:i4>
      </vt:variant>
      <vt:variant>
        <vt:i4>80</vt:i4>
      </vt:variant>
      <vt:variant>
        <vt:i4>0</vt:i4>
      </vt:variant>
      <vt:variant>
        <vt:i4>5</vt:i4>
      </vt:variant>
      <vt:variant>
        <vt:lpwstr/>
      </vt:variant>
      <vt:variant>
        <vt:lpwstr>_Toc353800782</vt:lpwstr>
      </vt:variant>
      <vt:variant>
        <vt:i4>1179703</vt:i4>
      </vt:variant>
      <vt:variant>
        <vt:i4>74</vt:i4>
      </vt:variant>
      <vt:variant>
        <vt:i4>0</vt:i4>
      </vt:variant>
      <vt:variant>
        <vt:i4>5</vt:i4>
      </vt:variant>
      <vt:variant>
        <vt:lpwstr/>
      </vt:variant>
      <vt:variant>
        <vt:lpwstr>_Toc353800781</vt:lpwstr>
      </vt:variant>
      <vt:variant>
        <vt:i4>1179703</vt:i4>
      </vt:variant>
      <vt:variant>
        <vt:i4>68</vt:i4>
      </vt:variant>
      <vt:variant>
        <vt:i4>0</vt:i4>
      </vt:variant>
      <vt:variant>
        <vt:i4>5</vt:i4>
      </vt:variant>
      <vt:variant>
        <vt:lpwstr/>
      </vt:variant>
      <vt:variant>
        <vt:lpwstr>_Toc353800780</vt:lpwstr>
      </vt:variant>
      <vt:variant>
        <vt:i4>1900599</vt:i4>
      </vt:variant>
      <vt:variant>
        <vt:i4>62</vt:i4>
      </vt:variant>
      <vt:variant>
        <vt:i4>0</vt:i4>
      </vt:variant>
      <vt:variant>
        <vt:i4>5</vt:i4>
      </vt:variant>
      <vt:variant>
        <vt:lpwstr/>
      </vt:variant>
      <vt:variant>
        <vt:lpwstr>_Toc353800779</vt:lpwstr>
      </vt:variant>
      <vt:variant>
        <vt:i4>1900599</vt:i4>
      </vt:variant>
      <vt:variant>
        <vt:i4>56</vt:i4>
      </vt:variant>
      <vt:variant>
        <vt:i4>0</vt:i4>
      </vt:variant>
      <vt:variant>
        <vt:i4>5</vt:i4>
      </vt:variant>
      <vt:variant>
        <vt:lpwstr/>
      </vt:variant>
      <vt:variant>
        <vt:lpwstr>_Toc353800778</vt:lpwstr>
      </vt:variant>
      <vt:variant>
        <vt:i4>1900599</vt:i4>
      </vt:variant>
      <vt:variant>
        <vt:i4>50</vt:i4>
      </vt:variant>
      <vt:variant>
        <vt:i4>0</vt:i4>
      </vt:variant>
      <vt:variant>
        <vt:i4>5</vt:i4>
      </vt:variant>
      <vt:variant>
        <vt:lpwstr/>
      </vt:variant>
      <vt:variant>
        <vt:lpwstr>_Toc353800777</vt:lpwstr>
      </vt:variant>
      <vt:variant>
        <vt:i4>1900599</vt:i4>
      </vt:variant>
      <vt:variant>
        <vt:i4>44</vt:i4>
      </vt:variant>
      <vt:variant>
        <vt:i4>0</vt:i4>
      </vt:variant>
      <vt:variant>
        <vt:i4>5</vt:i4>
      </vt:variant>
      <vt:variant>
        <vt:lpwstr/>
      </vt:variant>
      <vt:variant>
        <vt:lpwstr>_Toc353800776</vt:lpwstr>
      </vt:variant>
      <vt:variant>
        <vt:i4>1900599</vt:i4>
      </vt:variant>
      <vt:variant>
        <vt:i4>38</vt:i4>
      </vt:variant>
      <vt:variant>
        <vt:i4>0</vt:i4>
      </vt:variant>
      <vt:variant>
        <vt:i4>5</vt:i4>
      </vt:variant>
      <vt:variant>
        <vt:lpwstr/>
      </vt:variant>
      <vt:variant>
        <vt:lpwstr>_Toc353800775</vt:lpwstr>
      </vt:variant>
      <vt:variant>
        <vt:i4>1900599</vt:i4>
      </vt:variant>
      <vt:variant>
        <vt:i4>32</vt:i4>
      </vt:variant>
      <vt:variant>
        <vt:i4>0</vt:i4>
      </vt:variant>
      <vt:variant>
        <vt:i4>5</vt:i4>
      </vt:variant>
      <vt:variant>
        <vt:lpwstr/>
      </vt:variant>
      <vt:variant>
        <vt:lpwstr>_Toc353800774</vt:lpwstr>
      </vt:variant>
      <vt:variant>
        <vt:i4>1900599</vt:i4>
      </vt:variant>
      <vt:variant>
        <vt:i4>26</vt:i4>
      </vt:variant>
      <vt:variant>
        <vt:i4>0</vt:i4>
      </vt:variant>
      <vt:variant>
        <vt:i4>5</vt:i4>
      </vt:variant>
      <vt:variant>
        <vt:lpwstr/>
      </vt:variant>
      <vt:variant>
        <vt:lpwstr>_Toc353800773</vt:lpwstr>
      </vt:variant>
      <vt:variant>
        <vt:i4>1900599</vt:i4>
      </vt:variant>
      <vt:variant>
        <vt:i4>20</vt:i4>
      </vt:variant>
      <vt:variant>
        <vt:i4>0</vt:i4>
      </vt:variant>
      <vt:variant>
        <vt:i4>5</vt:i4>
      </vt:variant>
      <vt:variant>
        <vt:lpwstr/>
      </vt:variant>
      <vt:variant>
        <vt:lpwstr>_Toc353800772</vt:lpwstr>
      </vt:variant>
      <vt:variant>
        <vt:i4>1900599</vt:i4>
      </vt:variant>
      <vt:variant>
        <vt:i4>14</vt:i4>
      </vt:variant>
      <vt:variant>
        <vt:i4>0</vt:i4>
      </vt:variant>
      <vt:variant>
        <vt:i4>5</vt:i4>
      </vt:variant>
      <vt:variant>
        <vt:lpwstr/>
      </vt:variant>
      <vt:variant>
        <vt:lpwstr>_Toc353800771</vt:lpwstr>
      </vt:variant>
      <vt:variant>
        <vt:i4>1900599</vt:i4>
      </vt:variant>
      <vt:variant>
        <vt:i4>8</vt:i4>
      </vt:variant>
      <vt:variant>
        <vt:i4>0</vt:i4>
      </vt:variant>
      <vt:variant>
        <vt:i4>5</vt:i4>
      </vt:variant>
      <vt:variant>
        <vt:lpwstr/>
      </vt:variant>
      <vt:variant>
        <vt:lpwstr>_Toc353800770</vt:lpwstr>
      </vt:variant>
      <vt:variant>
        <vt:i4>8192092</vt:i4>
      </vt:variant>
      <vt:variant>
        <vt:i4>3</vt:i4>
      </vt:variant>
      <vt:variant>
        <vt:i4>0</vt:i4>
      </vt:variant>
      <vt:variant>
        <vt:i4>5</vt:i4>
      </vt:variant>
      <vt:variant>
        <vt:lpwstr>mailto:steve.hulm@londonmarketgroup.co.uk</vt:lpwstr>
      </vt:variant>
      <vt:variant>
        <vt:lpwstr/>
      </vt:variant>
      <vt:variant>
        <vt:i4>6422648</vt:i4>
      </vt:variant>
      <vt:variant>
        <vt:i4>0</vt:i4>
      </vt:variant>
      <vt:variant>
        <vt:i4>0</vt:i4>
      </vt:variant>
      <vt:variant>
        <vt:i4>5</vt:i4>
      </vt:variant>
      <vt:variant>
        <vt:lpwstr>http://www.londonmarketgroup.co.uk/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creator>collinsi</dc:creator>
  <cp:lastModifiedBy>dpadmin1</cp:lastModifiedBy>
  <cp:revision>17</cp:revision>
  <cp:lastPrinted>2014-08-12T14:08:00Z</cp:lastPrinted>
  <dcterms:created xsi:type="dcterms:W3CDTF">2014-08-07T17:20:00Z</dcterms:created>
  <dcterms:modified xsi:type="dcterms:W3CDTF">2014-11-24T15:41:00Z</dcterms:modified>
</cp:coreProperties>
</file>